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b/>
          <w:bCs/>
          <w:color w:val="000000"/>
          <w:highlight w:val="white"/>
        </w:rPr>
        <w:t>Table S2 Genetic gain by scenario, relative cost of phenotyping to genotyping, and availability of an initial training population</w:t>
      </w:r>
    </w:p>
    <w:tbl>
      <w:tblPr>
        <w:tblW w:w="8568" w:type="dxa"/>
        <w:jc w:val="left"/>
        <w:tblInd w:w="973" w:type="dxa"/>
        <w:tblCellMar>
          <w:top w:w="0" w:type="dxa"/>
          <w:left w:w="108" w:type="dxa"/>
          <w:bottom w:w="0" w:type="dxa"/>
          <w:right w:w="108" w:type="dxa"/>
        </w:tblCellMar>
        <w:tblLook w:val="0000" w:noHBand="0" w:noVBand="0" w:firstColumn="0" w:lastRow="0" w:lastColumn="0" w:firstRow="0"/>
      </w:tblPr>
      <w:tblGrid>
        <w:gridCol w:w="2153"/>
        <w:gridCol w:w="957"/>
        <w:gridCol w:w="1813"/>
        <w:gridCol w:w="1808"/>
        <w:gridCol w:w="1837"/>
      </w:tblGrid>
      <w:tr>
        <w:trPr>
          <w:trHeight w:val="369" w:hRule="exact"/>
          <w:cantSplit w:val="true"/>
        </w:trPr>
        <w:tc>
          <w:tcPr>
            <w:tcW w:w="2153" w:type="dxa"/>
            <w:tcBorders>
              <w:top w:val="single" w:sz="2" w:space="0" w:color="000000"/>
            </w:tcBorders>
            <w:shd w:color="auto" w:fill="FFFFFF" w:val="clear"/>
            <w:vAlign w:val="bottom"/>
          </w:tcPr>
          <w:p>
            <w:pPr>
              <w:pStyle w:val="Normal"/>
              <w:bidi w:val="0"/>
              <w:spacing w:lineRule="auto" w:line="240" w:before="0" w:after="0"/>
              <w:jc w:val="left"/>
              <w:rPr/>
            </w:pPr>
            <w:r>
              <w:rPr/>
            </w:r>
          </w:p>
        </w:tc>
        <w:tc>
          <w:tcPr>
            <w:tcW w:w="957" w:type="dxa"/>
            <w:tcBorders>
              <w:top w:val="single" w:sz="4" w:space="0" w:color="000000"/>
            </w:tcBorders>
            <w:shd w:color="auto" w:fill="FFFFFF" w:val="clear"/>
            <w:tcMar>
              <w:left w:w="0" w:type="dxa"/>
              <w:right w:w="0" w:type="dxa"/>
            </w:tcMar>
            <w:vAlign w:val="bottom"/>
          </w:tcPr>
          <w:p>
            <w:pPr>
              <w:pStyle w:val="Normal"/>
              <w:bidi w:val="0"/>
              <w:spacing w:lineRule="auto" w:line="240" w:before="0" w:after="0"/>
              <w:jc w:val="left"/>
              <w:rPr/>
            </w:pPr>
            <w:r>
              <w:rPr/>
            </w:r>
          </w:p>
        </w:tc>
        <w:tc>
          <w:tcPr>
            <w:tcW w:w="5458" w:type="dxa"/>
            <w:gridSpan w:val="3"/>
            <w:tcBorders>
              <w:top w:val="single" w:sz="4" w:space="0" w:color="000000"/>
            </w:tcBorders>
            <w:shd w:color="auto" w:fill="FFFFFF" w:val="clear"/>
            <w:tcMar>
              <w:left w:w="0" w:type="dxa"/>
              <w:right w:w="0" w:type="dxa"/>
            </w:tcMar>
            <w:vAlign w:val="bottom"/>
          </w:tcPr>
          <w:p>
            <w:pPr>
              <w:pStyle w:val="Standard"/>
              <w:spacing w:lineRule="auto" w:line="240"/>
              <w:ind w:hanging="0"/>
              <w:rPr/>
            </w:pPr>
            <w:bookmarkStart w:id="0" w:name="__DdeLink__20128_3356873930"/>
            <w:r>
              <w:rPr>
                <w:color w:val="000000"/>
                <w:szCs w:val="24"/>
                <w:lang w:val="en-GB"/>
              </w:rPr>
              <w:t>Relative cost of phenotyping (P) to genotyping (G)</w:t>
            </w:r>
            <w:bookmarkEnd w:id="0"/>
          </w:p>
        </w:tc>
      </w:tr>
      <w:tr>
        <w:trPr>
          <w:trHeight w:val="369" w:hRule="exact"/>
          <w:cantSplit w:val="true"/>
        </w:trPr>
        <w:tc>
          <w:tcPr>
            <w:tcW w:w="2153" w:type="dxa"/>
            <w:tcBorders/>
            <w:shd w:color="auto" w:fill="FFFFFF" w:val="clear"/>
            <w:vAlign w:val="bottom"/>
          </w:tcPr>
          <w:p>
            <w:pPr>
              <w:pStyle w:val="Normal"/>
              <w:bidi w:val="0"/>
              <w:spacing w:lineRule="auto" w:line="240" w:before="0" w:after="0"/>
              <w:jc w:val="left"/>
              <w:rPr/>
            </w:pPr>
            <w:r>
              <w:rPr/>
            </w:r>
          </w:p>
        </w:tc>
        <w:tc>
          <w:tcPr>
            <w:tcW w:w="957" w:type="dxa"/>
            <w:tcBorders>
              <w:bottom w:val="single" w:sz="2" w:space="0" w:color="000000"/>
            </w:tcBorders>
            <w:shd w:color="auto" w:fill="FFFFFF" w:val="clear"/>
            <w:tcMar>
              <w:left w:w="0" w:type="dxa"/>
              <w:right w:w="0" w:type="dxa"/>
            </w:tcMar>
            <w:vAlign w:val="bottom"/>
          </w:tcPr>
          <w:p>
            <w:pPr>
              <w:pStyle w:val="Normal"/>
              <w:bidi w:val="0"/>
              <w:spacing w:lineRule="auto" w:line="240" w:before="0" w:after="0"/>
              <w:jc w:val="left"/>
              <w:rPr/>
            </w:pPr>
            <w:r>
              <w:rPr/>
              <w:t>Scenario</w:t>
            </w:r>
          </w:p>
        </w:tc>
        <w:tc>
          <w:tcPr>
            <w:tcW w:w="1813" w:type="dxa"/>
            <w:tcBorders>
              <w:bottom w:val="single" w:sz="2" w:space="0" w:color="000000"/>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$P:$G = 1:2</w:t>
            </w:r>
          </w:p>
        </w:tc>
        <w:tc>
          <w:tcPr>
            <w:tcW w:w="1808" w:type="dxa"/>
            <w:tcBorders>
              <w:bottom w:val="single" w:sz="2" w:space="0" w:color="000000"/>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$P:$G = 1:1</w:t>
            </w:r>
          </w:p>
        </w:tc>
        <w:tc>
          <w:tcPr>
            <w:tcW w:w="1837" w:type="dxa"/>
            <w:tcBorders>
              <w:bottom w:val="single" w:sz="2" w:space="0" w:color="000000"/>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$P:$G = 2:1</w:t>
            </w:r>
          </w:p>
        </w:tc>
      </w:tr>
      <w:tr>
        <w:trPr>
          <w:trHeight w:val="369" w:hRule="exact"/>
        </w:trPr>
        <w:tc>
          <w:tcPr>
            <w:tcW w:w="2153" w:type="dxa"/>
            <w:tcBorders/>
            <w:shd w:color="auto" w:fill="FFFFFF" w:val="clear"/>
            <w:vAlign w:val="bottom"/>
          </w:tcPr>
          <w:p>
            <w:pPr>
              <w:pStyle w:val="Standard"/>
              <w:spacing w:lineRule="auto" w:line="240"/>
              <w:ind w:hanging="0"/>
              <w:jc w:val="both"/>
              <w:rPr/>
            </w:pPr>
            <w:r>
              <w:rPr/>
            </w:r>
          </w:p>
        </w:tc>
        <w:tc>
          <w:tcPr>
            <w:tcW w:w="957" w:type="dxa"/>
            <w:tcBorders>
              <w:top w:val="single" w:sz="2" w:space="0" w:color="000000"/>
              <w:bottom w:val="single" w:sz="4" w:space="0" w:color="000000"/>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C11</w:t>
            </w:r>
          </w:p>
        </w:tc>
        <w:tc>
          <w:tcPr>
            <w:tcW w:w="1813" w:type="dxa"/>
            <w:tcBorders>
              <w:top w:val="single" w:sz="2" w:space="0" w:color="000000"/>
              <w:bottom w:val="single" w:sz="4" w:space="0" w:color="000000"/>
            </w:tcBorders>
            <w:shd w:color="auto" w:fill="FFFFFF" w:val="clear"/>
            <w:tcMar>
              <w:left w:w="0" w:type="dxa"/>
              <w:right w:w="0" w:type="dxa"/>
            </w:tcMar>
            <w:vAlign w:val="bottom"/>
          </w:tcPr>
          <w:p>
            <w:pPr>
              <w:pStyle w:val="Standard"/>
              <w:spacing w:lineRule="auto" w:line="240"/>
              <w:ind w:hanging="0"/>
              <w:jc w:val="right"/>
              <w:rPr/>
            </w:pPr>
            <w:r>
              <w:rPr>
                <w:lang w:val="en-GB"/>
              </w:rPr>
              <w:t>3.01</w:t>
            </w:r>
            <w:r>
              <w:rPr>
                <w:vertAlign w:val="subscript"/>
                <w:lang w:val="en-GB"/>
              </w:rPr>
              <w:t>0.22</w:t>
            </w:r>
            <w:r>
              <w:rPr>
                <w:vertAlign w:val="superscript"/>
                <w:lang w:val="en-GB"/>
              </w:rPr>
              <w:t>a,A</w:t>
            </w:r>
          </w:p>
        </w:tc>
        <w:tc>
          <w:tcPr>
            <w:tcW w:w="1808" w:type="dxa"/>
            <w:tcBorders>
              <w:top w:val="single" w:sz="2" w:space="0" w:color="000000"/>
              <w:bottom w:val="single" w:sz="4" w:space="0" w:color="000000"/>
            </w:tcBorders>
            <w:shd w:color="auto" w:fill="FFFFFF" w:val="clear"/>
            <w:tcMar>
              <w:left w:w="0" w:type="dxa"/>
              <w:right w:w="0" w:type="dxa"/>
            </w:tcMar>
            <w:vAlign w:val="bottom"/>
          </w:tcPr>
          <w:p>
            <w:pPr>
              <w:pStyle w:val="Standard"/>
              <w:spacing w:lineRule="auto" w:line="240"/>
              <w:ind w:hanging="0"/>
              <w:jc w:val="right"/>
              <w:rPr/>
            </w:pPr>
            <w:r>
              <w:rPr>
                <w:lang w:val="en-GB"/>
              </w:rPr>
              <w:t>3.01</w:t>
            </w:r>
            <w:r>
              <w:rPr>
                <w:vertAlign w:val="subscript"/>
                <w:lang w:val="en-GB"/>
              </w:rPr>
              <w:t>0.22</w:t>
            </w:r>
            <w:r>
              <w:rPr>
                <w:vertAlign w:val="superscript"/>
                <w:lang w:val="en-GB"/>
              </w:rPr>
              <w:t>a,A</w:t>
            </w:r>
          </w:p>
        </w:tc>
        <w:tc>
          <w:tcPr>
            <w:tcW w:w="1837" w:type="dxa"/>
            <w:tcBorders>
              <w:top w:val="single" w:sz="2" w:space="0" w:color="000000"/>
              <w:bottom w:val="single" w:sz="4" w:space="0" w:color="000000"/>
            </w:tcBorders>
            <w:shd w:color="auto" w:fill="FFFFFF" w:val="clear"/>
            <w:tcMar>
              <w:left w:w="0" w:type="dxa"/>
              <w:right w:w="0" w:type="dxa"/>
            </w:tcMar>
            <w:vAlign w:val="bottom"/>
          </w:tcPr>
          <w:p>
            <w:pPr>
              <w:pStyle w:val="Standard"/>
              <w:spacing w:lineRule="auto" w:line="240"/>
              <w:ind w:hanging="0"/>
              <w:jc w:val="right"/>
              <w:rPr/>
            </w:pPr>
            <w:r>
              <w:rPr>
                <w:lang w:val="en-GB"/>
              </w:rPr>
              <w:t>3.01</w:t>
            </w:r>
            <w:r>
              <w:rPr>
                <w:vertAlign w:val="subscript"/>
                <w:lang w:val="en-GB"/>
              </w:rPr>
              <w:t>0.22</w:t>
            </w:r>
            <w:r>
              <w:rPr>
                <w:vertAlign w:val="superscript"/>
                <w:lang w:val="en-GB"/>
              </w:rPr>
              <w:t>a,A</w:t>
            </w:r>
          </w:p>
        </w:tc>
      </w:tr>
      <w:tr>
        <w:trPr>
          <w:trHeight w:val="518" w:hRule="exact"/>
        </w:trPr>
        <w:tc>
          <w:tcPr>
            <w:tcW w:w="2153" w:type="dxa"/>
            <w:vMerge w:val="restart"/>
            <w:tcBorders>
              <w:top w:val="single" w:sz="4" w:space="0" w:color="000000"/>
              <w:bottom w:val="single" w:sz="2" w:space="0" w:color="000000"/>
            </w:tcBorders>
            <w:shd w:color="auto" w:fill="FFFFFF" w:val="clear"/>
            <w:tcMar>
              <w:left w:w="0" w:type="dxa"/>
            </w:tcMar>
            <w:vAlign w:val="center"/>
          </w:tcPr>
          <w:p>
            <w:pPr>
              <w:pStyle w:val="Standard"/>
              <w:spacing w:lineRule="auto" w:line="240"/>
              <w:ind w:hanging="0"/>
              <w:jc w:val="left"/>
              <w:textAlignment w:val="center"/>
              <w:rPr/>
            </w:pPr>
            <w:r>
              <w:rPr>
                <w:color w:val="000000"/>
                <w:szCs w:val="24"/>
                <w:lang w:val="en-GB"/>
              </w:rPr>
              <w:t xml:space="preserve">With initial </w:t>
            </w:r>
          </w:p>
          <w:p>
            <w:pPr>
              <w:pStyle w:val="Standard"/>
              <w:spacing w:lineRule="auto" w:line="240"/>
              <w:ind w:hanging="0"/>
              <w:jc w:val="left"/>
              <w:textAlignment w:val="center"/>
              <w:rPr/>
            </w:pPr>
            <w:r>
              <w:rPr>
                <w:color w:val="000000"/>
                <w:szCs w:val="24"/>
                <w:lang w:val="en-GB"/>
              </w:rPr>
              <w:t>training</w:t>
            </w:r>
            <w:r>
              <w:rPr/>
              <w:t xml:space="preserve"> population</w:t>
            </w:r>
          </w:p>
        </w:tc>
        <w:tc>
          <w:tcPr>
            <w:tcW w:w="957" w:type="dxa"/>
            <w:tcBorders/>
            <w:shd w:color="auto" w:fill="FFFFFF" w:val="clear"/>
            <w:tcMar>
              <w:left w:w="0" w:type="dxa"/>
              <w:right w:w="0" w:type="dxa"/>
            </w:tcMar>
            <w:vAlign w:val="bottom"/>
          </w:tcPr>
          <w:p>
            <w:pPr>
              <w:pStyle w:val="Standard"/>
              <w:spacing w:lineRule="auto" w:line="240" w:before="227" w:after="240"/>
              <w:ind w:hanging="0"/>
              <w:jc w:val="both"/>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7"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spacing w:lineRule="auto" w:line="240"/>
              <w:ind w:hanging="0"/>
              <w:jc w:val="left"/>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G9</w:t>
            </w:r>
          </w:p>
        </w:tc>
        <w:tc>
          <w:tcPr>
            <w:tcW w:w="1813"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7"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spacing w:lineRule="auto" w:line="240"/>
              <w:ind w:hanging="0"/>
              <w:jc w:val="left"/>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G8</w:t>
            </w:r>
          </w:p>
        </w:tc>
        <w:tc>
          <w:tcPr>
            <w:tcW w:w="1813"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08"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7"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spacing w:lineRule="auto" w:line="240"/>
              <w:ind w:hanging="0"/>
              <w:jc w:val="left"/>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G5</w:t>
            </w:r>
          </w:p>
        </w:tc>
        <w:tc>
          <w:tcPr>
            <w:tcW w:w="1813"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08"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7" w:type="dxa"/>
            <w:tcBorders/>
            <w:shd w:color="auto" w:fill="FFFFFF" w:val="clear"/>
            <w:tcMar>
              <w:left w:w="0" w:type="dxa"/>
              <w:right w:w="0" w:type="dxa"/>
            </w:tcMar>
            <w:vAlign w:val="bottom"/>
          </w:tcPr>
          <w:p>
            <w:pPr>
              <w:pStyle w:val="Standard"/>
              <w:spacing w:lineRule="auto" w:line="240"/>
              <w:ind w:hanging="0"/>
              <w:jc w:val="right"/>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spacing w:lineRule="auto" w:line="240"/>
              <w:ind w:hanging="0"/>
              <w:jc w:val="left"/>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G2</w:t>
            </w:r>
          </w:p>
        </w:tc>
        <w:tc>
          <w:tcPr>
            <w:tcW w:w="1813" w:type="dxa"/>
            <w:tcBorders/>
            <w:shd w:color="auto" w:fill="FFFFFF" w:val="clear"/>
            <w:tcMar>
              <w:left w:w="0" w:type="dxa"/>
              <w:right w:w="0" w:type="dxa"/>
            </w:tcMar>
            <w:vAlign w:val="bottom"/>
          </w:tcPr>
          <w:p>
            <w:pPr>
              <w:pStyle w:val="Standard"/>
              <w:spacing w:lineRule="auto" w:line="240"/>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08" w:type="dxa"/>
            <w:tcBorders/>
            <w:shd w:color="auto" w:fill="FFFFFF" w:val="clear"/>
            <w:tcMar>
              <w:left w:w="0" w:type="dxa"/>
              <w:right w:w="0" w:type="dxa"/>
            </w:tcMar>
            <w:vAlign w:val="bottom"/>
          </w:tcPr>
          <w:p>
            <w:pPr>
              <w:pStyle w:val="Standard"/>
              <w:spacing w:lineRule="auto" w:line="240"/>
              <w:ind w:hanging="0"/>
              <w:jc w:val="right"/>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7" w:type="dxa"/>
            <w:tcBorders/>
            <w:shd w:color="auto" w:fill="FFFFFF" w:val="clear"/>
            <w:tcMar>
              <w:left w:w="0" w:type="dxa"/>
              <w:right w:w="0" w:type="dxa"/>
            </w:tcMar>
            <w:vAlign w:val="bottom"/>
          </w:tcPr>
          <w:p>
            <w:pPr>
              <w:pStyle w:val="Standard"/>
              <w:spacing w:lineRule="auto" w:line="240"/>
              <w:ind w:hanging="0"/>
              <w:jc w:val="right"/>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spacing w:lineRule="auto" w:line="240"/>
              <w:ind w:hanging="0"/>
              <w:jc w:val="left"/>
              <w:rPr/>
            </w:pPr>
            <w:r>
              <w:rPr/>
            </w:r>
          </w:p>
        </w:tc>
        <w:tc>
          <w:tcPr>
            <w:tcW w:w="957" w:type="dxa"/>
            <w:tcBorders>
              <w:bottom w:val="single" w:sz="2" w:space="0" w:color="000000"/>
            </w:tcBorders>
            <w:shd w:color="auto" w:fill="auto" w:val="clear"/>
            <w:tcMar>
              <w:top w:w="29" w:type="dxa"/>
              <w:left w:w="29" w:type="dxa"/>
              <w:bottom w:w="29" w:type="dxa"/>
              <w:right w:w="29" w:type="dxa"/>
            </w:tcMar>
            <w:vAlign w:val="bottom"/>
          </w:tcPr>
          <w:p>
            <w:pPr>
              <w:pStyle w:val="Standard"/>
              <w:spacing w:lineRule="auto" w:line="240"/>
              <w:ind w:hanging="0"/>
              <w:jc w:val="both"/>
              <w:rPr/>
            </w:pPr>
            <w:r>
              <w:rPr>
                <w:color w:val="000000"/>
                <w:szCs w:val="24"/>
                <w:lang w:val="en-GB"/>
              </w:rPr>
              <w:t>G1</w:t>
            </w:r>
          </w:p>
        </w:tc>
        <w:tc>
          <w:tcPr>
            <w:tcW w:w="1813" w:type="dxa"/>
            <w:tcBorders>
              <w:bottom w:val="single" w:sz="2" w:space="0" w:color="000000"/>
            </w:tcBorders>
            <w:shd w:color="auto" w:fill="auto" w:val="clear"/>
            <w:tcMar>
              <w:top w:w="29" w:type="dxa"/>
              <w:left w:w="29" w:type="dxa"/>
              <w:bottom w:w="29" w:type="dxa"/>
              <w:right w:w="29" w:type="dxa"/>
            </w:tcMar>
            <w:vAlign w:val="bottom"/>
          </w:tcPr>
          <w:p>
            <w:pPr>
              <w:pStyle w:val="Standard"/>
              <w:shd w:val="clear" w:color="auto" w:fill="FFFFFF"/>
              <w:spacing w:lineRule="auto" w:line="240"/>
              <w:ind w:hanging="0"/>
              <w:jc w:val="right"/>
              <w:rPr/>
            </w:pPr>
            <w:r>
              <w:rPr>
                <w:b/>
                <w:bCs/>
                <w:lang w:val="en-GB"/>
              </w:rPr>
              <w:t>7.11</w:t>
            </w:r>
            <w:r>
              <w:rPr>
                <w:b/>
                <w:bCs/>
                <w:vertAlign w:val="subscript"/>
                <w:lang w:val="en-GB"/>
              </w:rPr>
              <w:t>0.16</w:t>
            </w:r>
            <w:r>
              <w:rPr>
                <w:b/>
                <w:bCs/>
                <w:vertAlign w:val="superscript"/>
                <w:lang w:val="en-GB"/>
              </w:rPr>
              <w:t>e,A</w:t>
            </w:r>
          </w:p>
        </w:tc>
        <w:tc>
          <w:tcPr>
            <w:tcW w:w="1808" w:type="dxa"/>
            <w:tcBorders>
              <w:bottom w:val="single" w:sz="2" w:space="0" w:color="000000"/>
            </w:tcBorders>
            <w:shd w:color="auto" w:fill="FFFFFF" w:val="clear"/>
            <w:tcMar>
              <w:top w:w="29" w:type="dxa"/>
              <w:left w:w="29" w:type="dxa"/>
              <w:bottom w:w="29" w:type="dxa"/>
              <w:right w:w="29" w:type="dxa"/>
            </w:tcMar>
            <w:vAlign w:val="bottom"/>
          </w:tcPr>
          <w:p>
            <w:pPr>
              <w:pStyle w:val="Standard"/>
              <w:spacing w:lineRule="auto" w:line="240"/>
              <w:ind w:hanging="0"/>
              <w:jc w:val="right"/>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7" w:type="dxa"/>
            <w:tcBorders>
              <w:bottom w:val="single" w:sz="2" w:space="0" w:color="000000"/>
            </w:tcBorders>
            <w:shd w:color="auto" w:fill="FFFFFF" w:val="clear"/>
            <w:tcMar>
              <w:top w:w="29" w:type="dxa"/>
              <w:left w:w="29" w:type="dxa"/>
              <w:bottom w:w="29" w:type="dxa"/>
              <w:right w:w="29" w:type="dxa"/>
            </w:tcMar>
            <w:vAlign w:val="bottom"/>
          </w:tcPr>
          <w:p>
            <w:pPr>
              <w:pStyle w:val="Standard"/>
              <w:spacing w:lineRule="auto" w:line="240"/>
              <w:ind w:hanging="0"/>
              <w:jc w:val="right"/>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3" w:type="dxa"/>
            <w:vMerge w:val="restart"/>
            <w:tcBorders>
              <w:top w:val="single" w:sz="2" w:space="0" w:color="000000"/>
              <w:bottom w:val="single" w:sz="2" w:space="0" w:color="000000"/>
            </w:tcBorders>
            <w:shd w:color="auto" w:fill="FFFFFF" w:val="clear"/>
            <w:tcMar>
              <w:left w:w="0" w:type="dxa"/>
            </w:tcMar>
            <w:vAlign w:val="center"/>
          </w:tcPr>
          <w:p>
            <w:pPr>
              <w:pStyle w:val="Standard"/>
              <w:spacing w:lineRule="auto" w:line="240" w:before="227" w:after="240"/>
              <w:ind w:hanging="0"/>
              <w:jc w:val="left"/>
              <w:rPr/>
            </w:pPr>
            <w:r>
              <w:rPr>
                <w:color w:val="000000"/>
                <w:szCs w:val="24"/>
                <w:lang w:val="en-GB"/>
              </w:rPr>
              <w:t>Without initial training</w:t>
            </w:r>
            <w:r>
              <w:rPr/>
              <w:t xml:space="preserve"> population</w:t>
            </w:r>
          </w:p>
        </w:tc>
        <w:tc>
          <w:tcPr>
            <w:tcW w:w="957" w:type="dxa"/>
            <w:tcBorders/>
            <w:shd w:color="auto" w:fill="FFFFFF" w:val="clear"/>
            <w:tcMar>
              <w:left w:w="0" w:type="dxa"/>
              <w:right w:w="0" w:type="dxa"/>
            </w:tcMar>
            <w:vAlign w:val="bottom"/>
          </w:tcPr>
          <w:p>
            <w:pPr>
              <w:pStyle w:val="Standard"/>
              <w:spacing w:lineRule="auto" w:line="240" w:before="227" w:after="240"/>
              <w:ind w:hanging="0"/>
              <w:jc w:val="both"/>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7" w:type="dxa"/>
            <w:tcBorders/>
            <w:shd w:color="auto" w:fill="FFFFFF" w:val="clear"/>
            <w:tcMar>
              <w:left w:w="0" w:type="dxa"/>
              <w:right w:w="0" w:type="dxa"/>
            </w:tcMar>
            <w:vAlign w:val="bottom"/>
          </w:tcPr>
          <w:p>
            <w:pPr>
              <w:pStyle w:val="Standard"/>
              <w:spacing w:lineRule="auto" w:line="240"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spacing w:lineRule="auto" w:line="240"/>
              <w:ind w:left="-117" w:hanging="0"/>
              <w:jc w:val="both"/>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G9</w:t>
            </w:r>
          </w:p>
        </w:tc>
        <w:tc>
          <w:tcPr>
            <w:tcW w:w="1813"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08"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7"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spacing w:lineRule="auto" w:line="240"/>
              <w:ind w:hanging="0"/>
              <w:jc w:val="both"/>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G8</w:t>
            </w:r>
          </w:p>
        </w:tc>
        <w:tc>
          <w:tcPr>
            <w:tcW w:w="1813"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08"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7"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spacing w:lineRule="auto" w:line="240"/>
              <w:ind w:hanging="0"/>
              <w:jc w:val="both"/>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G5</w:t>
            </w:r>
          </w:p>
        </w:tc>
        <w:tc>
          <w:tcPr>
            <w:tcW w:w="1813"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08"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7" w:type="dxa"/>
            <w:tcBorders/>
            <w:shd w:color="auto" w:fill="auto" w:val="clear"/>
            <w:tcMar>
              <w:left w:w="0" w:type="dxa"/>
              <w:right w:w="0" w:type="dxa"/>
            </w:tcMar>
            <w:vAlign w:val="bottom"/>
          </w:tcPr>
          <w:p>
            <w:pPr>
              <w:pStyle w:val="Standard"/>
              <w:spacing w:lineRule="auto" w:line="240"/>
              <w:ind w:hanging="0"/>
              <w:jc w:val="right"/>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spacing w:lineRule="auto" w:line="240"/>
              <w:ind w:hanging="0"/>
              <w:jc w:val="both"/>
              <w:rPr/>
            </w:pPr>
            <w:r>
              <w:rPr/>
            </w:r>
          </w:p>
        </w:tc>
        <w:tc>
          <w:tcPr>
            <w:tcW w:w="957" w:type="dxa"/>
            <w:tcBorders/>
            <w:shd w:color="auto" w:fill="FFFFFF" w:val="clear"/>
            <w:tcMar>
              <w:left w:w="0" w:type="dxa"/>
              <w:right w:w="0" w:type="dxa"/>
            </w:tcMar>
            <w:vAlign w:val="bottom"/>
          </w:tcPr>
          <w:p>
            <w:pPr>
              <w:pStyle w:val="Standard"/>
              <w:spacing w:lineRule="auto" w:line="240"/>
              <w:ind w:hanging="0"/>
              <w:jc w:val="both"/>
              <w:rPr/>
            </w:pPr>
            <w:r>
              <w:rPr>
                <w:color w:val="000000"/>
                <w:szCs w:val="24"/>
                <w:lang w:val="en-GB"/>
              </w:rPr>
              <w:t>G2</w:t>
            </w:r>
          </w:p>
        </w:tc>
        <w:tc>
          <w:tcPr>
            <w:tcW w:w="1813" w:type="dxa"/>
            <w:tcBorders/>
            <w:shd w:color="auto" w:fill="auto" w:val="clear"/>
            <w:tcMar>
              <w:left w:w="0" w:type="dxa"/>
              <w:right w:w="0" w:type="dxa"/>
            </w:tcMar>
            <w:vAlign w:val="bottom"/>
          </w:tcPr>
          <w:p>
            <w:pPr>
              <w:pStyle w:val="Standard"/>
              <w:spacing w:lineRule="auto" w:line="240"/>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08" w:type="dxa"/>
            <w:tcBorders/>
            <w:shd w:color="auto" w:fill="auto" w:val="clear"/>
            <w:tcMar>
              <w:left w:w="0" w:type="dxa"/>
              <w:right w:w="0" w:type="dxa"/>
            </w:tcMar>
            <w:vAlign w:val="bottom"/>
          </w:tcPr>
          <w:p>
            <w:pPr>
              <w:pStyle w:val="Standard"/>
              <w:spacing w:lineRule="auto" w:line="240"/>
              <w:ind w:hanging="0"/>
              <w:jc w:val="right"/>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7" w:type="dxa"/>
            <w:tcBorders/>
            <w:shd w:color="auto" w:fill="auto" w:val="clear"/>
            <w:tcMar>
              <w:left w:w="0" w:type="dxa"/>
              <w:right w:w="0" w:type="dxa"/>
            </w:tcMar>
            <w:vAlign w:val="bottom"/>
          </w:tcPr>
          <w:p>
            <w:pPr>
              <w:pStyle w:val="Standard"/>
              <w:spacing w:lineRule="auto" w:line="240"/>
              <w:ind w:hanging="0"/>
              <w:jc w:val="right"/>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spacing w:lineRule="auto" w:line="240"/>
              <w:ind w:hanging="0"/>
              <w:jc w:val="both"/>
              <w:rPr/>
            </w:pPr>
            <w:r>
              <w:rPr/>
            </w:r>
          </w:p>
        </w:tc>
        <w:tc>
          <w:tcPr>
            <w:tcW w:w="957" w:type="dxa"/>
            <w:tcBorders>
              <w:bottom w:val="single" w:sz="2" w:space="0" w:color="000000"/>
            </w:tcBorders>
            <w:shd w:color="auto" w:fill="FFFFFF" w:val="clear"/>
            <w:tcMar>
              <w:top w:w="29" w:type="dxa"/>
              <w:left w:w="29" w:type="dxa"/>
              <w:bottom w:w="29" w:type="dxa"/>
              <w:right w:w="29" w:type="dxa"/>
            </w:tcMar>
            <w:vAlign w:val="bottom"/>
          </w:tcPr>
          <w:p>
            <w:pPr>
              <w:pStyle w:val="Standard"/>
              <w:spacing w:lineRule="auto" w:line="240"/>
              <w:ind w:hanging="0"/>
              <w:jc w:val="both"/>
              <w:rPr/>
            </w:pPr>
            <w:r>
              <w:rPr>
                <w:color w:val="000000"/>
                <w:szCs w:val="24"/>
                <w:lang w:val="en-GB"/>
              </w:rPr>
              <w:t>G1</w:t>
            </w:r>
          </w:p>
        </w:tc>
        <w:tc>
          <w:tcPr>
            <w:tcW w:w="1813" w:type="dxa"/>
            <w:tcBorders>
              <w:bottom w:val="single" w:sz="2" w:space="0" w:color="000000"/>
            </w:tcBorders>
            <w:shd w:color="auto" w:fill="auto" w:val="clear"/>
            <w:tcMar>
              <w:top w:w="29" w:type="dxa"/>
              <w:left w:w="29" w:type="dxa"/>
              <w:bottom w:w="29" w:type="dxa"/>
              <w:right w:w="29" w:type="dxa"/>
            </w:tcMar>
            <w:vAlign w:val="bottom"/>
          </w:tcPr>
          <w:p>
            <w:pPr>
              <w:pStyle w:val="Standard"/>
              <w:spacing w:lineRule="auto" w:line="240"/>
              <w:ind w:hanging="0"/>
              <w:jc w:val="right"/>
              <w:rPr/>
            </w:pPr>
            <w:r>
              <w:rPr>
                <w:b/>
                <w:bCs/>
                <w:lang w:val="en-GB"/>
              </w:rPr>
              <w:t>6.78</w:t>
            </w:r>
            <w:r>
              <w:rPr>
                <w:b/>
                <w:bCs/>
                <w:vertAlign w:val="subscript"/>
                <w:lang w:val="en-GB"/>
              </w:rPr>
              <w:t>0.29</w:t>
            </w:r>
            <w:r>
              <w:rPr>
                <w:b/>
                <w:bCs/>
                <w:vertAlign w:val="superscript"/>
                <w:lang w:val="en-GB"/>
              </w:rPr>
              <w:t>f,A</w:t>
            </w:r>
          </w:p>
        </w:tc>
        <w:tc>
          <w:tcPr>
            <w:tcW w:w="1808" w:type="dxa"/>
            <w:tcBorders>
              <w:bottom w:val="single" w:sz="2" w:space="0" w:color="000000"/>
            </w:tcBorders>
            <w:shd w:color="auto" w:fill="auto" w:val="clear"/>
            <w:tcMar>
              <w:top w:w="29" w:type="dxa"/>
              <w:left w:w="29" w:type="dxa"/>
              <w:bottom w:w="29" w:type="dxa"/>
              <w:right w:w="29" w:type="dxa"/>
            </w:tcMar>
            <w:vAlign w:val="bottom"/>
          </w:tcPr>
          <w:p>
            <w:pPr>
              <w:pStyle w:val="Standard"/>
              <w:spacing w:lineRule="auto" w:line="240"/>
              <w:ind w:hanging="0"/>
              <w:jc w:val="right"/>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7" w:type="dxa"/>
            <w:tcBorders>
              <w:bottom w:val="single" w:sz="2" w:space="0" w:color="000000"/>
            </w:tcBorders>
            <w:shd w:color="auto" w:fill="auto" w:val="clear"/>
            <w:tcMar>
              <w:top w:w="29" w:type="dxa"/>
              <w:left w:w="29" w:type="dxa"/>
              <w:bottom w:w="29" w:type="dxa"/>
              <w:right w:w="29" w:type="dxa"/>
            </w:tcMar>
            <w:vAlign w:val="bottom"/>
          </w:tcPr>
          <w:p>
            <w:pPr>
              <w:pStyle w:val="Standard"/>
              <w:spacing w:lineRule="auto" w:line="240"/>
              <w:ind w:hanging="0"/>
              <w:jc w:val="right"/>
              <w:rPr/>
            </w:pPr>
            <w:r>
              <w:rPr>
                <w:b/>
                <w:bCs/>
                <w:lang w:val="en-GB"/>
              </w:rPr>
              <w:t>7.01</w:t>
            </w:r>
            <w:r>
              <w:rPr>
                <w:b/>
                <w:bCs/>
                <w:vertAlign w:val="subscript"/>
                <w:lang w:val="en-GB"/>
              </w:rPr>
              <w:t>0.23</w:t>
            </w:r>
            <w:r>
              <w:rPr>
                <w:b/>
                <w:bCs/>
                <w:vertAlign w:val="superscript"/>
                <w:lang w:val="en-GB"/>
              </w:rPr>
              <w:t>e,A</w:t>
            </w:r>
          </w:p>
        </w:tc>
      </w:tr>
    </w:tbl>
    <w:p>
      <w:pPr>
        <w:pStyle w:val="Normal"/>
        <w:bidi w:val="0"/>
        <w:spacing w:lineRule="auto" w:line="480"/>
        <w:jc w:val="left"/>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suppressAutoHyphens w:val="true"/>
      <w:overflowPunct w:val="tru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LibreOffice/6.4.4.2$Linux_X86_64 LibreOffice_project/40$Build-2</Application>
  <Pages>1</Pages>
  <Words>192</Words>
  <Characters>1099</Characters>
  <CharactersWithSpaces>1230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2020-08-16T16:22:04Z</dcterms:created>
  <dc:creator/>
  <dc:description/>
  <dc:language>en-US</dc:language>
  <cp:lastModifiedBy/>
  <dcterms:modified xsi:type="dcterms:W3CDTF">2020-08-16T16:28:01Z</dcterms:modified>
  <cp:revision>2</cp:revision>
  <dc:subject/>
  <dc:title/>
</cp:coreProperties>
</file>