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>
          <w:b/>
          <w:bCs/>
          <w:color w:val="000000"/>
          <w:highlight w:val="white"/>
        </w:rPr>
        <w:t>Table S</w:t>
      </w:r>
      <w:r>
        <w:rPr>
          <w:b/>
          <w:bCs/>
          <w:color w:val="000000"/>
          <w:highlight w:val="white"/>
        </w:rPr>
        <w:t xml:space="preserve">4 Selection accuracy by scenario, relative cost </w:t>
      </w:r>
      <w:r>
        <w:rPr>
          <w:rFonts w:eastAsia="Wingdings"/>
          <w:b/>
          <w:bCs/>
          <w:color w:val="000000"/>
          <w:highlight w:val="white"/>
        </w:rPr>
        <w:t>of phenotyping to genotyping ($P:$G)</w:t>
      </w:r>
      <w:r>
        <w:rPr>
          <w:b/>
          <w:bCs/>
          <w:color w:val="000000"/>
          <w:highlight w:val="white"/>
        </w:rPr>
        <w:t>, and the availability of an initial training population</w:t>
      </w:r>
    </w:p>
    <w:tbl>
      <w:tblPr>
        <w:tblW w:w="917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87"/>
        <w:gridCol w:w="1286"/>
        <w:gridCol w:w="1287"/>
        <w:gridCol w:w="1287"/>
        <w:gridCol w:w="1763"/>
        <w:gridCol w:w="1287"/>
        <w:gridCol w:w="1275"/>
      </w:tblGrid>
      <w:tr>
        <w:trPr>
          <w:trHeight w:val="374" w:hRule="atLeast"/>
        </w:trPr>
        <w:tc>
          <w:tcPr>
            <w:tcW w:w="98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With initial training population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Without initial training population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/>
              <w:t>Scenario</w:t>
            </w:r>
          </w:p>
        </w:tc>
        <w:tc>
          <w:tcPr>
            <w:tcW w:w="1286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$P:$G=1:2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$P:$G=1:1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$P:$G=2:1</w:t>
            </w:r>
          </w:p>
        </w:tc>
        <w:tc>
          <w:tcPr>
            <w:tcW w:w="1763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$P:$G=1:2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$P:$G=1:1</w:t>
            </w:r>
          </w:p>
        </w:tc>
        <w:tc>
          <w:tcPr>
            <w:tcW w:w="1275" w:type="dxa"/>
            <w:tcBorders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$P:$G=2:1</w:t>
            </w:r>
          </w:p>
        </w:tc>
      </w:tr>
      <w:tr>
        <w:trPr>
          <w:trHeight w:val="374" w:hRule="atLeast"/>
        </w:trPr>
        <w:tc>
          <w:tcPr>
            <w:tcW w:w="9172" w:type="dxa"/>
            <w:gridSpan w:val="7"/>
            <w:tcBorders/>
            <w:shd w:color="auto" w:fill="auto" w:val="clear"/>
            <w:vAlign w:val="center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>
                <w:lang w:val="en-GB"/>
              </w:rPr>
              <w:t>Male candidates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C11, S1</w:t>
            </w:r>
          </w:p>
        </w:tc>
        <w:tc>
          <w:tcPr>
            <w:tcW w:w="1286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 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763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0.37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a,A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C11, S2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bc,AB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0.81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b,B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b,C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bc,B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bc,C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lang w:val="en-GB"/>
              </w:rPr>
              <w:t>G8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c,B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bc,B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0.00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G2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0.91</w:t>
            </w:r>
            <w:r>
              <w:rPr>
                <w:vertAlign w:val="subscript"/>
                <w:lang w:val="en-GB"/>
              </w:rPr>
              <w:t>0.00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G1</w:t>
            </w:r>
          </w:p>
        </w:tc>
        <w:tc>
          <w:tcPr>
            <w:tcW w:w="1286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0.90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75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</w:tr>
      <w:tr>
        <w:trPr>
          <w:trHeight w:val="374" w:hRule="atLeast"/>
        </w:trPr>
        <w:tc>
          <w:tcPr>
            <w:tcW w:w="9172" w:type="dxa"/>
            <w:gridSpan w:val="7"/>
            <w:tcBorders/>
            <w:shd w:color="auto"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/>
              <w:t>Sires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C11</w:t>
            </w:r>
          </w:p>
        </w:tc>
        <w:tc>
          <w:tcPr>
            <w:tcW w:w="1286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763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0.86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a,A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0.75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0.75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0.73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0.08</w:t>
            </w:r>
            <w:r>
              <w:rPr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0.68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cde,A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0.06</w:t>
            </w:r>
            <w:r>
              <w:rPr>
                <w:vertAlign w:val="superscript"/>
                <w:lang w:val="en-GB"/>
              </w:rPr>
              <w:t>b,A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0.72</w:t>
            </w:r>
            <w:r>
              <w:rPr>
                <w:vertAlign w:val="subscript"/>
                <w:lang w:val="en-GB"/>
              </w:rPr>
              <w:t>0.06</w:t>
            </w:r>
            <w:r>
              <w:rPr>
                <w:vertAlign w:val="superscript"/>
                <w:lang w:val="en-GB"/>
              </w:rPr>
              <w:t>bc,AB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0.70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0.72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0.71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lang w:val="en-GB"/>
              </w:rPr>
              <w:t>G8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cd,B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0.68</w:t>
            </w:r>
            <w:r>
              <w:rPr>
                <w:vertAlign w:val="subscript"/>
                <w:lang w:val="en-GB"/>
              </w:rPr>
              <w:t>0.06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0.71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0.74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0.70</w:t>
            </w:r>
            <w:r>
              <w:rPr>
                <w:vertAlign w:val="subscript"/>
                <w:lang w:val="en-GB"/>
              </w:rPr>
              <w:t>0.07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0.68</w:t>
            </w:r>
            <w:r>
              <w:rPr>
                <w:vertAlign w:val="subscript"/>
                <w:lang w:val="en-GB"/>
              </w:rPr>
              <w:t>0.07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0.08</w:t>
            </w:r>
            <w:r>
              <w:rPr>
                <w:vertAlign w:val="superscript"/>
                <w:lang w:val="en-GB"/>
              </w:rPr>
              <w:t>de,A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0.68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cd,A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G2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de,A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0.65</w:t>
            </w:r>
            <w:r>
              <w:rPr>
                <w:vertAlign w:val="subscript"/>
                <w:lang w:val="en-GB"/>
              </w:rPr>
              <w:t>0.06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0.64</w:t>
            </w:r>
            <w:r>
              <w:rPr>
                <w:vertAlign w:val="subscript"/>
                <w:lang w:val="en-GB"/>
              </w:rPr>
              <w:t>0.07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G1</w:t>
            </w:r>
          </w:p>
        </w:tc>
        <w:tc>
          <w:tcPr>
            <w:tcW w:w="1286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0.66</w:t>
            </w:r>
            <w:r>
              <w:rPr>
                <w:vertAlign w:val="subscript"/>
                <w:lang w:val="en-GB"/>
              </w:rPr>
              <w:t>0.06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0.63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0.04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de,A</w:t>
            </w:r>
          </w:p>
        </w:tc>
        <w:tc>
          <w:tcPr>
            <w:tcW w:w="1275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0.05</w:t>
            </w:r>
            <w:r>
              <w:rPr>
                <w:vertAlign w:val="superscript"/>
                <w:lang w:val="en-GB"/>
              </w:rPr>
              <w:t>b,A</w:t>
            </w:r>
          </w:p>
        </w:tc>
      </w:tr>
      <w:tr>
        <w:trPr>
          <w:trHeight w:val="374" w:hRule="atLeast"/>
        </w:trPr>
        <w:tc>
          <w:tcPr>
            <w:tcW w:w="9172" w:type="dxa"/>
            <w:gridSpan w:val="7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/>
              <w:t>Female candidates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C11</w:t>
            </w:r>
          </w:p>
        </w:tc>
        <w:tc>
          <w:tcPr>
            <w:tcW w:w="1286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763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0.45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ab,A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ab,A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ab,AB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0.49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b,B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0.52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ab,A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bc,B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0.52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bc,C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lang w:val="en-GB"/>
              </w:rPr>
              <w:t>G8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0.54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0.52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0.53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cd,C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0.55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0.52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0.55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de,B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d,C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G2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0.55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0.55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e,AB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d,B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G1</w:t>
            </w:r>
          </w:p>
        </w:tc>
        <w:tc>
          <w:tcPr>
            <w:tcW w:w="1286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763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0.55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75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d,A</w:t>
            </w:r>
          </w:p>
        </w:tc>
      </w:tr>
      <w:tr>
        <w:trPr>
          <w:trHeight w:val="374" w:hRule="atLeast"/>
        </w:trPr>
        <w:tc>
          <w:tcPr>
            <w:tcW w:w="9172" w:type="dxa"/>
            <w:gridSpan w:val="7"/>
            <w:tcBorders/>
            <w:shd w:color="auto" w:fill="auto" w:val="clear"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/>
              <w:t>Cows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C11</w:t>
            </w:r>
          </w:p>
        </w:tc>
        <w:tc>
          <w:tcPr>
            <w:tcW w:w="1286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763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0.48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a,A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0.63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0.53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b,B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0.61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b,C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0.59</w:t>
            </w:r>
            <w:r>
              <w:rPr>
                <w:vertAlign w:val="subscript"/>
                <w:lang w:val="en-GB"/>
              </w:rPr>
              <w:t>0.03</w:t>
            </w:r>
            <w:r>
              <w:rPr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0.63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0.70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c,C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0.57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0.62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0.68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c,C *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lang w:val="en-GB"/>
              </w:rPr>
              <w:t>G8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0.62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0.74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0.60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c,A *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0.73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d,C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0.70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e,C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0.69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e,B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0.78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e,B</w:t>
            </w:r>
          </w:p>
        </w:tc>
      </w:tr>
      <w:tr>
        <w:trPr>
          <w:trHeight w:val="374" w:hRule="atLeast"/>
        </w:trPr>
        <w:tc>
          <w:tcPr>
            <w:tcW w:w="9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G2</w:t>
            </w:r>
          </w:p>
        </w:tc>
        <w:tc>
          <w:tcPr>
            <w:tcW w:w="1286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0.79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d,B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0.78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e,AB</w:t>
            </w:r>
          </w:p>
        </w:tc>
        <w:tc>
          <w:tcPr>
            <w:tcW w:w="1763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e,A *</w:t>
            </w:r>
          </w:p>
        </w:tc>
        <w:tc>
          <w:tcPr>
            <w:tcW w:w="1275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de,A</w:t>
            </w:r>
          </w:p>
        </w:tc>
      </w:tr>
      <w:tr>
        <w:trPr>
          <w:trHeight w:val="374" w:hRule="atLeast"/>
        </w:trPr>
        <w:tc>
          <w:tcPr>
            <w:tcW w:w="9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/>
            </w:pPr>
            <w:r>
              <w:rPr>
                <w:lang w:val="en-GB"/>
              </w:rPr>
              <w:t>G1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0.77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de,A</w:t>
            </w:r>
          </w:p>
        </w:tc>
        <w:tc>
          <w:tcPr>
            <w:tcW w:w="176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0.01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e,A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lang w:val="en-GB"/>
              </w:rPr>
              <w:t>0.76</w:t>
            </w:r>
            <w:r>
              <w:rPr>
                <w:vertAlign w:val="subscript"/>
                <w:lang w:val="en-GB"/>
              </w:rPr>
              <w:t>0.02</w:t>
            </w:r>
            <w:r>
              <w:rPr>
                <w:vertAlign w:val="superscript"/>
                <w:lang w:val="en-GB"/>
              </w:rPr>
              <w:t>de,A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>
          <w:vertAlign w:val="superscript"/>
        </w:rPr>
        <w:t>*</w:t>
      </w:r>
      <w:r>
        <w:rPr>
          <w:color w:val="000000"/>
        </w:rPr>
        <w:t xml:space="preserve">The table presents the means and standard deviations (subscript) across 10 replicates for the conventional (C) and genomic (G) scenarios, with numbers indicating the number of phenotype records per lactation. </w:t>
      </w:r>
      <w:r>
        <w:rPr>
          <w:rFonts w:eastAsia="Wingdings"/>
          <w:color w:val="000000"/>
          <w:highlight w:val="white"/>
        </w:rPr>
        <w:t>Conventional selection implemented two-stage selection for males, hence we present the accuracy of pre-selection for progeny testing (S1) and the accuracy sire selection (S2). In genomic scenarios the male candidates were genotyped and non</w:t>
        <w:noBreakHyphen/>
        <w:t>phenotyped. We also present the accuracy for sires currently used in artificial insemination (sires), for non</w:t>
        <w:noBreakHyphen/>
        <w:t>genotyped and non</w:t>
        <w:noBreakHyphen/>
        <w:t>phenotyped females (female candidates), and for all active phenotyped cows and bull dams (cows). Lower-case letters denote statistically significant differences between scenarios within the same $P:$G and upper-case letters between different $P:$G within the same scenario. Stars denote statistically significant difference between corresponding scenarios with and without an initial training population.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ind w:firstLine="720"/>
      <w:jc w:val="center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0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2</Pages>
  <Words>404</Words>
  <Characters>3211</Characters>
  <CharactersWithSpaces>3397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2020-08-16T16:26:25Z</dcterms:created>
  <dc:creator/>
  <dc:description/>
  <dc:language>en-US</dc:language>
  <cp:lastModifiedBy/>
  <dcterms:modified xsi:type="dcterms:W3CDTF">2020-08-16T16:28:32Z</dcterms:modified>
  <cp:revision>2</cp:revision>
  <dc:subject/>
  <dc:title/>
</cp:coreProperties>
</file>