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480"/>
        <w:rPr>
          <w:b/>
          <w:b/>
          <w:bCs/>
        </w:rPr>
      </w:pPr>
      <w:r>
        <w:rPr>
          <w:b/>
          <w:bCs/>
        </w:rPr>
        <w:t>Figure S2 Distribution of true breeding values and their partitions by trait, year, and tier in MaleFlow20 scenario.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6119495" cy="431990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We show scaled densities of partitions in years 23 and 40 of one simulation replicate. MalerFlow20 uses nucleus and multiplier males in the multiplier. Trait 1 is measured in the nucleus and the multiplier, while trait 2 is measured only in the nucleus. Black vertical lines represent the nucleus mean breeding value for a trait in a year.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862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kern w:val="2"/>
        <w:szCs w:val="24"/>
        <w:lang w:val="en-GB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 PL SungtiL GB" w:cs="Lohit Devanagari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LibreOffice/6.0.7.3$Linux_X86_64 LibreOffice_project/00m0$Build-3</Application>
  <Pages>1</Pages>
  <Words>76</Words>
  <Characters>381</Characters>
  <CharactersWithSpaces>455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2020-08-17T13:31:43Z</dcterms:created>
  <dc:creator/>
  <dc:description/>
  <dc:language>en-GB</dc:language>
  <cp:lastModifiedBy/>
  <dcterms:modified xsi:type="dcterms:W3CDTF">2020-08-17T13:39:10Z</dcterms:modified>
  <cp:revision>2</cp:revision>
  <dc:subject/>
  <dc:title/>
</cp:coreProperties>
</file>