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Doc" Type="http://schemas.openxmlformats.org/officeDocument/2006/relationships/officeDocument" Target="word/document.xml"/><Relationship Id="rCore" Type="http://schemas.openxmlformats.org/package/2006/relationships/metadata/core-properties" Target="docProps/core.xml"/><Relationship Id="rApp"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Duck Warehouse API</w:t>
      </w:r>
    </w:p>
    <w:p>
      <w:pPr>
        <w:pStyle w:val="Subtitle"/>
      </w:pPr>
      <w:r>
        <w:t xml:space="preserve">Plan for 10,000 Concurrent Requests</w:t>
      </w:r>
    </w:p>
    <w:p>
      <w:pPr>
        <w:pStyle w:val="Metadata"/>
      </w:pPr>
      <w:r>
        <w:t xml:space="preserve">Implementation guide | 15 October 2026 | Capacity not yet verified</w:t>
      </w:r>
    </w:p>
    <w:p>
      <w:pPr>
        <w:pStyle w:val="Normal"/>
      </w:pPr>
      <w:r>
        <w:t xml:space="preserve"/>
      </w:r>
      <w:r>
        <w:rPr>
          <w:b/>
        </w:rPr>
        <w:t xml:space="preserve">Recommended approach:</w:t>
      </w:r>
      <w:r>
        <w:t xml:space="preserve"> bound the work per request, measure the database, add controlled admission, and scale API replicas behind a load balancer. Prove the required workload with load tests before claiming support for 10,000 simultaneous requests.</w:t>
      </w:r>
    </w:p>
    <w:p>
      <w:pPr>
        <w:pStyle w:val="Heading2"/>
      </w:pPr>
      <w:r>
        <w:t xml:space="preserve">Define what must succeed</w:t>
      </w:r>
    </w:p>
    <w:p>
      <w:pPr>
        <w:pStyle w:val="Normal"/>
      </w:pPr>
      <w:r>
        <w:t xml:space="preserve">Use this working requirement: up to 10,000 outstanding HTTP requests across the deployed system, for an agreed endpoint mix and database size. Specify whether waiting at the gateway counts, how large the arrival window is, and how quickly all requests must complete. Supporting 10,000 connected or logged-in users is a different requirement.</w:t>
      </w:r>
    </w:p>
    <w:p>
      <w:pPr>
        <w:pStyle w:val="Normal"/>
      </w:pPr>
      <w:r>
        <w:t xml:space="preserve">Concurrency and throughput are related but different. For stable average traffic, average in-flight requests = requests/second x average end-to-end response time. For example, 10,000 in flight with a 0.5-second average implies about 20,000 requests/second. This is sizing arithmetic, not a benchmark or a prediction.</w:t>
      </w:r>
    </w:p>
    <w:p>
      <w:pPr>
        <w:pStyle w:val="Heading2"/>
      </w:pPr>
      <w:r>
        <w:t xml:space="preserve">What the checked-in project currently provides</w:t>
      </w:r>
    </w:p>
    <w:tbl>
      <w:tblPr>
        <w:tblW w:w="9360" w:type="dxa"/>
        <w:tblInd w:w="12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bottom w:w="80" w:type="dxa"/>
          <w:start w:w="120" w:type="dxa"/>
          <w:end w:w="120" w:type="dxa"/>
        </w:tblCellMar>
      </w:tblPr>
      <w:tblGrid>
        <w:gridCol w:w="2700"/>
        <w:gridCol w:w="6660"/>
      </w:tblGrid>
      <w:tr>
        <w:trPr>
          <w:cantSplit/>
          <w:tblHeader/>
        </w:trPr>
        <w:tc>
          <w:tcPr>
            <w:tcW w:w="2700" w:type="dxa"/>
            <w:vAlign w:val="center"/>
            <w:shd w:val="clear" w:color="auto" w:fill="E8EEF5"/>
          </w:tcPr>
          <w:p>
            <w:pPr>
              <w:pStyle w:val="TableHead"/>
            </w:pPr>
            <w:r>
              <w:t xml:space="preserve">Area</w:t>
            </w:r>
          </w:p>
        </w:tc>
        <w:tc>
          <w:tcPr>
            <w:tcW w:w="6660" w:type="dxa"/>
            <w:vAlign w:val="center"/>
            <w:shd w:val="clear" w:color="auto" w:fill="E8EEF5"/>
          </w:tcPr>
          <w:p>
            <w:pPr>
              <w:pStyle w:val="TableHead"/>
            </w:pPr>
            <w:r>
              <w:t xml:space="preserve">Observed configuration or behavior</w:t>
            </w:r>
          </w:p>
        </w:tc>
      </w:tr>
      <w:tr>
        <w:trPr>
          <w:cantSplit/>
        </w:trPr>
        <w:tc>
          <w:tcPr>
            <w:tcW w:w="2700" w:type="dxa"/>
            <w:vAlign w:val="center"/>
          </w:tcPr>
          <w:p>
            <w:pPr>
              <w:pStyle w:val="TableText"/>
            </w:pPr>
            <w:r>
              <w:t xml:space="preserve">Runtime</w:t>
            </w:r>
          </w:p>
        </w:tc>
        <w:tc>
          <w:tcPr>
            <w:tcW w:w="6660" w:type="dxa"/>
            <w:vAlign w:val="center"/>
          </w:tcPr>
          <w:p>
            <w:pPr>
              <w:pStyle w:val="TableText"/>
            </w:pPr>
            <w:r>
              <w:t xml:space="preserve">Java 17; Spring Boot 3.5.16; synchronous MVC and JDBC.</w:t>
            </w:r>
          </w:p>
        </w:tc>
      </w:tr>
      <w:tr>
        <w:trPr>
          <w:cantSplit/>
        </w:trPr>
        <w:tc>
          <w:tcPr>
            <w:tcW w:w="2700" w:type="dxa"/>
            <w:vAlign w:val="center"/>
          </w:tcPr>
          <w:p>
            <w:pPr>
              <w:pStyle w:val="TableText"/>
            </w:pPr>
            <w:r>
              <w:t xml:space="preserve">Database pool</w:t>
            </w:r>
          </w:p>
        </w:tc>
        <w:tc>
          <w:tcPr>
            <w:tcW w:w="6660" w:type="dxa"/>
            <w:vAlign w:val="center"/>
          </w:tcPr>
          <w:p>
            <w:pPr>
              <w:pStyle w:val="TableText"/>
            </w:pPr>
            <w:r>
              <w:t xml:space="preserve">10 connections per API instance; waits up to 5,000 ms to acquire a connection.</w:t>
            </w:r>
          </w:p>
        </w:tc>
      </w:tr>
      <w:tr>
        <w:trPr>
          <w:cantSplit/>
        </w:trPr>
        <w:tc>
          <w:tcPr>
            <w:tcW w:w="2700" w:type="dxa"/>
            <w:vAlign w:val="center"/>
          </w:tcPr>
          <w:p>
            <w:pPr>
              <w:pStyle w:val="TableText"/>
            </w:pPr>
            <w:r>
              <w:t xml:space="preserve">HTTP processing</w:t>
            </w:r>
          </w:p>
        </w:tc>
        <w:tc>
          <w:tcPr>
            <w:tcW w:w="6660" w:type="dxa"/>
            <w:vAlign w:val="center"/>
          </w:tcPr>
          <w:p>
            <w:pPr>
              <w:pStyle w:val="TableText"/>
            </w:pPr>
            <w:r>
              <w:t xml:space="preserve">No project-specific thread overrides; Boot 3.5 defaults include 200 Tomcat workers and 8,192 connections, unless deployment settings override them. [1]</w:t>
            </w:r>
          </w:p>
        </w:tc>
      </w:tr>
      <w:tr>
        <w:trPr>
          <w:cantSplit/>
        </w:trPr>
        <w:tc>
          <w:tcPr>
            <w:tcW w:w="2700" w:type="dxa"/>
            <w:vAlign w:val="center"/>
          </w:tcPr>
          <w:p>
            <w:pPr>
              <w:pStyle w:val="TableText"/>
            </w:pPr>
            <w:r>
              <w:t xml:space="preserve">Listing</w:t>
            </w:r>
          </w:p>
        </w:tc>
        <w:tc>
          <w:tcPr>
            <w:tcW w:w="6660" w:type="dxa"/>
            <w:vAlign w:val="center"/>
          </w:tcPr>
          <w:p>
            <w:pPr>
              <w:pStyle w:val="TableText"/>
            </w:pPr>
            <w:r>
              <w:t xml:space="preserve">GET /api/ducks reads every active row into memory.</w:t>
            </w:r>
          </w:p>
        </w:tc>
      </w:tr>
      <w:tr>
        <w:trPr>
          <w:cantSplit/>
        </w:trPr>
        <w:tc>
          <w:tcPr>
            <w:tcW w:w="2700" w:type="dxa"/>
            <w:vAlign w:val="center"/>
          </w:tcPr>
          <w:p>
            <w:pPr>
              <w:pStyle w:val="TableText"/>
            </w:pPr>
            <w:r>
              <w:t xml:space="preserve">Deployment and tests</w:t>
            </w:r>
          </w:p>
        </w:tc>
        <w:tc>
          <w:tcPr>
            <w:tcW w:w="6660" w:type="dxa"/>
            <w:vAlign w:val="center"/>
          </w:tcPr>
          <w:p>
            <w:pPr>
              <w:pStyle w:val="TableText"/>
            </w:pPr>
            <w:r>
              <w:t xml:space="preserve">Compose defines MySQL only. Tests cover 10/20 concurrent service writers, not 10,000 HTTP requests.</w:t>
            </w:r>
          </w:p>
        </w:tc>
      </w:tr>
    </w:tbl>
    <w:p>
      <w:pPr>
        <w:pStyle w:val="Small"/>
      </w:pPr>
      <w:r>
        <w:t xml:space="preserve">Evidence: backend pom.xml; src/main/resources/application.yml; DuckRepository.java:21; WarehouseIT.java:39. Application source and configuration were inspected; no load test was run. Hikari pool capacity limits simultaneous database use, not total requests/second. [2]</w:t>
      </w:r>
    </w:p>
    <w:p>
      <w:pPr>
        <w:pStyle w:val="Heading1"/>
        <w:pageBreakBefore/>
      </w:pPr>
      <w:r>
        <w:t xml:space="preserve">1. Make each API request bounded</w:t>
      </w:r>
    </w:p>
    <w:p>
      <w:pPr>
        <w:pStyle w:val="Heading2"/>
      </w:pPr>
      <w:r>
        <w:t xml:space="preserve">Paginate the warehouse list first</w:t>
      </w:r>
    </w:p>
    <w:p>
      <w:pPr>
        <w:pStyle w:val="Normal"/>
      </w:pPr>
      <w:r>
        <w:t xml:space="preserve">Add a validated list limit, for example default 50 and maximum 100 rows, and a documented continuation mechanism. Apply the limit in SQL; fetching the whole table and slicing the Java list does not solve the problem. Preserve the existing quantity,id ordering unless the API contract is deliberately changed.</w:t>
      </w:r>
    </w:p>
    <w:p>
      <w:pPr>
        <w:pStyle w:val="Normal"/>
      </w:pPr>
      <w:r>
        <w:t xml:space="preserve">For an initial implementation, bounded pages with controlled offsets are straightforward. Large offsets become expensive. A cursor over mutable quantity values can skip or repeat records during concurrent edits, so define freshness/snapshot semantics before using that cursor. Return only the fields required by the UI.</w:t>
      </w:r>
    </w:p>
    <w:p>
      <w:pPr>
        <w:pStyle w:val="GuideList"/>
        <w:numPr>
          <w:ilvl w:val="0"/>
          <w:numId w:val="1"/>
        </w:numPr>
      </w:pPr>
      <w:r>
        <w:t xml:space="preserve">Change WarehouseController, WarehouseService and DuckRepository together; update the React list request and response handling if the API shape changes.</w:t>
      </w:r>
    </w:p>
    <w:p>
      <w:pPr>
        <w:pStyle w:val="GuideList"/>
        <w:numPr>
          <w:ilvl w:val="0"/>
          <w:numId w:val="1"/>
        </w:numPr>
      </w:pPr>
      <w:r>
        <w:t xml:space="preserve">Verify limits, invalid parameters, deterministic ordering and response size on a realistically large dataset. Keep any count query separate and measured.</w:t>
      </w:r>
    </w:p>
    <w:p>
      <w:pPr>
        <w:pStyle w:val="Heading2"/>
      </w:pPr>
      <w:r>
        <w:t xml:space="preserve">Keep SQL and transactions efficient</w:t>
      </w:r>
    </w:p>
    <w:p>
      <w:pPr>
        <w:pStyle w:val="Normal"/>
      </w:pPr>
      <w:r>
        <w:t xml:space="preserve">Use EXPLAIN on list, lookup and quote queries with realistic data. The existing (deleted,quantity,id) index already helps list ordering. Add a new Flyway migration only when execution plans and measurements justify another index. EXPLAIN ANALYZE executes the statement; use it on an appropriate test database. [3]</w:t>
      </w:r>
    </w:p>
    <w:p>
      <w:pPr>
        <w:pStyle w:val="Normal"/>
      </w:pPr>
      <w:r>
        <w:t xml:space="preserve">Quote selection needs particular attention when many lower-price rows cannot supply the requested quantity or when deleted history grows. Test these distributions rather than only a small clean database. Keep transactions short and avoid external calls while holding row locks.</w:t>
      </w:r>
    </w:p>
    <w:p>
      <w:pPr>
        <w:pStyle w:val="Heading2"/>
      </w:pPr>
      <w:r>
        <w:t xml:space="preserve">Protect write correctness while adding capacity</w:t>
      </w:r>
    </w:p>
    <w:p>
      <w:pPr>
        <w:pStyle w:val="GuideList"/>
        <w:numPr>
          <w:ilvl w:val="0"/>
          <w:numId w:val="1"/>
        </w:numPr>
      </w:pPr>
      <w:r>
        <w:t xml:space="preserve">Retain the atomic add-or-merge increment, uniqueness constraint and existing transactional row locks. More replicas do not remove contention when all writers target the same variant.</w:t>
      </w:r>
    </w:p>
    <w:p>
      <w:pPr>
        <w:pStyle w:val="GuideList"/>
        <w:numPr>
          <w:ilvl w:val="0"/>
          <w:numId w:val="1"/>
        </w:numPr>
      </w:pPr>
      <w:r>
        <w:t xml:space="preserve">Before enabling automatic retries of POST /api/ducks, add durable idempotency: a unique client/request key plus a payload fingerprint and stored outcome, committed atomically with the stock increment. Reusing a key with a different payload must fail.</w:t>
      </w:r>
    </w:p>
    <w:p>
      <w:pPr>
        <w:pStyle w:val="GuideList"/>
        <w:numPr>
          <w:ilvl w:val="0"/>
          <w:numId w:val="1"/>
        </w:numPr>
      </w:pPr>
      <w:r>
        <w:t xml:space="preserve">Keep deadlock retries limited to transactions known to have rolled back. A lost HTTP response after a successful commit must not cause a second increment.</w:t>
      </w:r>
    </w:p>
    <w:p>
      <w:pPr>
        <w:pStyle w:val="Small"/>
      </w:pPr>
      <w:r>
        <w:t xml:space="preserve">The store endpoint currently calculates a quote; it does not reserve stock or create an order. Absolute price/quantity edits use last-write-wins behavior. Any stronger business guarantee requires a separate contract change.</w:t>
      </w:r>
    </w:p>
    <w:p>
      <w:pPr>
        <w:pStyle w:val="Heading1"/>
        <w:pageBreakBefore/>
      </w:pPr>
      <w:r>
        <w:t xml:space="preserve">2. Scale the complete request path</w:t>
      </w:r>
    </w:p>
    <w:p>
      <w:pPr>
        <w:pStyle w:val="Normal"/>
      </w:pPr>
      <w:r>
        <w:t xml:space="preserve"/>
      </w:r>
      <w:r>
        <w:rPr>
          <w:b/>
        </w:rPr>
        <w:t xml:space="preserve">Target topology:</w:t>
      </w:r>
      <w:r>
        <w:t xml:space="preserve"> clients -&gt; load balancer with bounded admission -&gt; stateless API replicas -&gt; MySQL primary. Serve the React production build separately. Cache only reads with an accepted freshness policy; retain authoritative stock checks.</w:t>
      </w:r>
    </w:p>
    <w:p>
      <w:pPr>
        <w:pStyle w:val="Heading2"/>
      </w:pPr>
      <w:r>
        <w:t xml:space="preserve">Size from measurements, including failure headroom</w:t>
      </w:r>
    </w:p>
    <w:p>
      <w:pPr>
        <w:pStyle w:val="Normal"/>
      </w:pPr>
      <w:r>
        <w:t xml:space="preserve">Measure sustainable throughput per replica at the agreed latency target, then test multiple replicas against the same database. Estimate replicas = ceiling(target RPS / (measured RPS per replica x utilization allowance)). Add failure headroom; shared database contention prevents assuming linear scaling.</w:t>
      </w:r>
    </w:p>
    <w:p>
      <w:pPr>
        <w:pStyle w:val="Normal"/>
      </w:pPr>
      <w:r>
        <w:t xml:space="preserve">Budget across all running replicas: maximum replicas during autoscaling or rollout x pool size + operational connections must fit the database's tested safe budget. MySQL max_connections is a ceiling, not proof of useful throughput. [2]</w:t>
      </w:r>
    </w:p>
    <w:p>
      <w:pPr>
        <w:pStyle w:val="Normal"/>
      </w:pPr>
      <w:r>
        <w:t xml:space="preserve">Illustration only: a database limit of 250 connections with 50 reserved leaves at most 200 for the API. Ten possible replicas with pools of 20 consume that entire API allowance. These numbers are not recommended production sizing; CPU, I/O, locks and query latency may require a much smaller budget.</w:t>
      </w:r>
    </w:p>
    <w:p>
      <w:pPr>
        <w:pStyle w:val="Heading2"/>
      </w:pPr>
      <w:r>
        <w:t xml:space="preserve">Control overload before it becomes a timeout storm</w:t>
      </w:r>
    </w:p>
    <w:p>
      <w:pPr>
        <w:pStyle w:val="GuideList"/>
        <w:numPr>
          <w:ilvl w:val="0"/>
          <w:numId w:val="1"/>
        </w:numPr>
      </w:pPr>
      <w:r>
        <w:t xml:space="preserve">Bound accepted in-flight work and waiting time at the gateway and application. Apply quotas where appropriate. Return intentional 429 for quota/rate limits or 503 for unavailable capacity; monitor these separately from unexpected failures.</w:t>
      </w:r>
    </w:p>
    <w:p>
      <w:pPr>
        <w:pStyle w:val="GuideList"/>
        <w:numPr>
          <w:ilvl w:val="0"/>
          <w:numId w:val="1"/>
        </w:numPr>
      </w:pPr>
      <w:r>
        <w:t xml:space="preserve">Coordinate statement, transaction, gateway and client time budgets, leaving room for rollback and response delivery. Pool acquisition timeout covers only waiting for a connection; Tomcat connection timeout is not a whole-request deadline.</w:t>
      </w:r>
    </w:p>
    <w:p>
      <w:pPr>
        <w:pStyle w:val="GuideList"/>
        <w:numPr>
          <w:ilvl w:val="0"/>
          <w:numId w:val="1"/>
        </w:numPr>
      </w:pPr>
      <w:r>
        <w:t xml:space="preserve">Review GlobalExceptionHandler for transaction-start/acquisition wrappers as well as DataAccessException. Verify deliberate overload errors do not unexpectedly become generic HTTP 500 responses.</w:t>
      </w:r>
    </w:p>
    <w:p>
      <w:pPr>
        <w:pStyle w:val="Heading2"/>
      </w:pPr>
      <w:r>
        <w:t xml:space="preserve">Observe the limiting resource</w:t>
      </w:r>
    </w:p>
    <w:p>
      <w:pPr>
        <w:pStyle w:val="Normal"/>
      </w:pPr>
      <w:r>
        <w:t xml:space="preserve">Add Actuator and an exporter. Track endpoint latency/status, active requests, queues/rejections, Hikari active/pending/acquisition metrics, heap/GC and CPU. Monitor database SQL latency, lock waits, deadlocks, CPU and I/O. Protect management access and avoid request/user IDs in metric labels. [4]</w:t>
      </w:r>
    </w:p>
    <w:p>
      <w:pPr>
        <w:pStyle w:val="Small"/>
      </w:pPr>
      <w:r>
        <w:t xml:space="preserve">Java 21+ virtual threads can be evaluated later; the current Java 17 runtime cannot enable them. They reduce thread overhead for blocking work but do not increase database capacity. A reactive rewrite is not a prerequisite. [5]</w:t>
      </w:r>
    </w:p>
    <w:p>
      <w:pPr>
        <w:pStyle w:val="Heading1"/>
        <w:pageBreakBefore/>
      </w:pPr>
      <w:r>
        <w:t xml:space="preserve">3. Add a measured staging profile</w:t>
      </w:r>
    </w:p>
    <w:p>
      <w:pPr>
        <w:pStyle w:val="Normal"/>
      </w:pPr>
      <w:r>
        <w:t xml:space="preserve">Create src/main/resources/application-loadtest.yml and activate it with --spring.profiles.active=loadtest. The profile below layers over the existing application.yml. It is a bounded staging example, not a 10,000-request capacity setting. Keep existing datasource credentials and other settings in their external configuration. [9]</w:t>
      </w:r>
    </w:p>
    <w:p>
      <w:pPr>
        <w:pStyle w:val="Code"/>
        <w:keepNext/>
      </w:pPr>
      <w:r>
        <w:t xml:space="preserve">server:</w:t>
      </w:r>
    </w:p>
    <w:p>
      <w:pPr>
        <w:pStyle w:val="Code"/>
        <w:keepNext/>
      </w:pPr>
      <w:r>
        <w:t xml:space="preserve">  shutdown: graceful</w:t>
      </w:r>
    </w:p>
    <w:p>
      <w:pPr>
        <w:pStyle w:val="Code"/>
        <w:keepNext/>
      </w:pPr>
      <w:r>
        <w:t xml:space="preserve">  tomcat:</w:t>
      </w:r>
    </w:p>
    <w:p>
      <w:pPr>
        <w:pStyle w:val="Code"/>
        <w:keepNext/>
      </w:pPr>
      <w:r>
        <w:t xml:space="preserve">    threads:</w:t>
      </w:r>
    </w:p>
    <w:p>
      <w:pPr>
        <w:pStyle w:val="Code"/>
        <w:keepNext/>
      </w:pPr>
      <w:r>
        <w:t xml:space="preserve">      max: ${HTTP_WORKERS:200}</w:t>
      </w:r>
    </w:p>
    <w:p>
      <w:pPr>
        <w:pStyle w:val="Code"/>
        <w:keepNext/>
      </w:pPr>
      <w:r>
        <w:t xml:space="preserve">      max-queue-capacity: ${HTTP_QUEUE:100}</w:t>
      </w:r>
    </w:p>
    <w:p>
      <w:pPr>
        <w:pStyle w:val="Code"/>
        <w:keepNext/>
      </w:pPr>
      <w:r>
        <w:t xml:space="preserve">    max-connections: ${HTTP_CONNECTIONS:2048}</w:t>
      </w:r>
    </w:p>
    <w:p>
      <w:pPr>
        <w:pStyle w:val="Code"/>
        <w:keepNext/>
      </w:pPr>
      <w:r>
        <w:t xml:space="preserve">    accept-count: 100</w:t>
      </w:r>
    </w:p>
    <w:p>
      <w:pPr>
        <w:pStyle w:val="Code"/>
        <w:keepNext/>
      </w:pPr>
      <w:r>
        <w:t xml:space="preserve">spring:</w:t>
      </w:r>
    </w:p>
    <w:p>
      <w:pPr>
        <w:pStyle w:val="Code"/>
        <w:keepNext/>
      </w:pPr>
      <w:r>
        <w:t xml:space="preserve">  datasource:</w:t>
      </w:r>
    </w:p>
    <w:p>
      <w:pPr>
        <w:pStyle w:val="Code"/>
        <w:keepNext/>
      </w:pPr>
      <w:r>
        <w:t xml:space="preserve">    hikari:</w:t>
      </w:r>
    </w:p>
    <w:p>
      <w:pPr>
        <w:pStyle w:val="Code"/>
        <w:keepNext/>
      </w:pPr>
      <w:r>
        <w:t xml:space="preserve">      maximum-pool-size: ${DB_POOL_MAX:10}</w:t>
      </w:r>
    </w:p>
    <w:p>
      <w:pPr>
        <w:pStyle w:val="Code"/>
        <w:keepNext/>
      </w:pPr>
      <w:r>
        <w:t xml:space="preserve">      connection-timeout: ${DB_ACQUIRE_MS:1000}</w:t>
      </w:r>
    </w:p>
    <w:p>
      <w:pPr>
        <w:pStyle w:val="Code"/>
        <w:keepNext/>
      </w:pPr>
      <w:r>
        <w:t xml:space="preserve">  jdbc:</w:t>
      </w:r>
    </w:p>
    <w:p>
      <w:pPr>
        <w:pStyle w:val="Code"/>
        <w:keepNext/>
      </w:pPr>
      <w:r>
        <w:t xml:space="preserve">    template:</w:t>
      </w:r>
    </w:p>
    <w:p>
      <w:pPr>
        <w:pStyle w:val="Code"/>
        <w:keepNext/>
      </w:pPr>
      <w:r>
        <w:t xml:space="preserve">      query-timeout: 2s</w:t>
      </w:r>
    </w:p>
    <w:p>
      <w:pPr>
        <w:pStyle w:val="Code"/>
        <w:keepNext/>
      </w:pPr>
      <w:r>
        <w:t xml:space="preserve">  lifecycle:</w:t>
      </w:r>
    </w:p>
    <w:p>
      <w:pPr>
        <w:pStyle w:val="Code"/>
        <w:keepNext/>
      </w:pPr>
      <w:r>
        <w:t xml:space="preserve">    timeout-per-shutdown-phase: 30s</w:t>
      </w:r>
    </w:p>
    <w:p>
      <w:pPr>
        <w:pStyle w:val="Code"/>
        <w:keepNext/>
      </w:pPr>
      <w:r>
        <w:t xml:space="preserve">management:</w:t>
      </w:r>
    </w:p>
    <w:p>
      <w:pPr>
        <w:pStyle w:val="Code"/>
        <w:keepNext/>
      </w:pPr>
      <w:r>
        <w:t xml:space="preserve">  server:</w:t>
      </w:r>
    </w:p>
    <w:p>
      <w:pPr>
        <w:pStyle w:val="Code"/>
        <w:keepNext/>
      </w:pPr>
      <w:r>
        <w:t xml:space="preserve">    port: 9091</w:t>
      </w:r>
    </w:p>
    <w:p>
      <w:pPr>
        <w:pStyle w:val="Code"/>
        <w:keepNext/>
      </w:pPr>
      <w:r>
        <w:t xml:space="preserve">    address: 127.0.0.1</w:t>
      </w:r>
    </w:p>
    <w:p>
      <w:pPr>
        <w:pStyle w:val="Code"/>
        <w:keepNext/>
      </w:pPr>
      <w:r>
        <w:t xml:space="preserve">  endpoints:</w:t>
      </w:r>
    </w:p>
    <w:p>
      <w:pPr>
        <w:pStyle w:val="Code"/>
        <w:keepNext/>
      </w:pPr>
      <w:r>
        <w:t xml:space="preserve">    web:</w:t>
      </w:r>
    </w:p>
    <w:p>
      <w:pPr>
        <w:pStyle w:val="Code"/>
        <w:keepNext/>
      </w:pPr>
      <w:r>
        <w:t xml:space="preserve">      exposure:</w:t>
      </w:r>
    </w:p>
    <w:p>
      <w:pPr>
        <w:pStyle w:val="Code"/>
        <w:keepNext/>
      </w:pPr>
      <w:r>
        <w:t xml:space="preserve">        include: health,prometheus</w:t>
      </w:r>
    </w:p>
    <w:p>
      <w:pPr>
        <w:pStyle w:val="Code"/>
        <w:keepNext/>
      </w:pPr>
      <w:r>
        <w:t xml:space="preserve">  endpoint:</w:t>
      </w:r>
    </w:p>
    <w:p>
      <w:pPr>
        <w:pStyle w:val="Code"/>
        <w:keepNext/>
      </w:pPr>
      <w:r>
        <w:t xml:space="preserve">    health:</w:t>
      </w:r>
    </w:p>
    <w:p>
      <w:pPr>
        <w:pStyle w:val="Code"/>
        <w:keepNext/>
      </w:pPr>
      <w:r>
        <w:t xml:space="preserve">      probes:</w:t>
      </w:r>
    </w:p>
    <w:p>
      <w:pPr>
        <w:pStyle w:val="Code"/>
        <w:spacing w:before="0" w:after="100" w:line="220" w:lineRule="exact"/>
      </w:pPr>
      <w:r>
        <w:t xml:space="preserve">        enabled: true</w:t>
      </w:r>
    </w:p>
    <w:p>
      <w:pPr>
        <w:pStyle w:val="Normal"/>
      </w:pPr>
      <w:r>
        <w:t xml:space="preserve"/>
      </w:r>
      <w:r>
        <w:rPr>
          <w:b/>
        </w:rPr>
        <w:t xml:space="preserve">Prerequisites:</w:t>
      </w:r>
      <w:r>
        <w:t xml:space="preserve"> add spring-boot-starter-actuator and micrometer-registry-prometheus to pom.xml. This example binds management to loopback, so scrape it locally or through a deliberately secured monitoring route. Use application readiness to drain traffic and graceful shutdown during deployments. [4]</w:t>
      </w:r>
    </w:p>
    <w:p>
      <w:pPr>
        <w:pStyle w:val="Normal"/>
      </w:pPr>
      <w:r>
        <w:t xml:space="preserve">The positive Tomcat queue limit bounds its worker queue; it does not produce a complete admission policy or guarantee structured 429/503 responses. accept-count concerns the connection backlog. The query timeout applies per JDBC statement, not to the entire request or all statements in a transaction. Validate driver cancellation and rollback behavior. [1]</w:t>
      </w:r>
    </w:p>
    <w:p>
      <w:pPr>
        <w:pStyle w:val="Small"/>
      </w:pPr>
      <w:r>
        <w:t xml:space="preserve">Tune one variable at a time against the same workload. Start with the existing pool of 10; increase it only while database throughput improves without harming latency. Do not set pools, workers or queues to 10,000 simply because 10,000 clients are expected. [2]</w:t>
      </w:r>
    </w:p>
    <w:p>
      <w:pPr>
        <w:pStyle w:val="Heading1"/>
        <w:pageBreakBefore/>
      </w:pPr>
      <w:r>
        <w:t xml:space="preserve">4. Prove capacity with separate scenarios</w:t>
      </w:r>
    </w:p>
    <w:p>
      <w:pPr>
        <w:pStyle w:val="Normal"/>
      </w:pPr>
      <w:r>
        <w:t xml:space="preserve">Use a staging deployment with production-like network, TLS, database volume, indexes, data distributions and resource limits. Run load generators separately from the API and database. Record generator CPU, memory, socket usage and achieved load so a generator bottleneck is not mistaken for server capacity.</w:t>
      </w:r>
    </w:p>
    <w:tbl>
      <w:tblPr>
        <w:tblW w:w="9360" w:type="dxa"/>
        <w:tblInd w:w="12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bottom w:w="80" w:type="dxa"/>
          <w:start w:w="120" w:type="dxa"/>
          <w:end w:w="120" w:type="dxa"/>
        </w:tblCellMar>
      </w:tblPr>
      <w:tblGrid>
        <w:gridCol w:w="2340"/>
        <w:gridCol w:w="7020"/>
      </w:tblGrid>
      <w:tr>
        <w:trPr>
          <w:cantSplit/>
          <w:tblHeader/>
        </w:trPr>
        <w:tc>
          <w:tcPr>
            <w:tcW w:w="2340" w:type="dxa"/>
            <w:vAlign w:val="center"/>
            <w:shd w:val="clear" w:color="auto" w:fill="E8EEF5"/>
          </w:tcPr>
          <w:p>
            <w:pPr>
              <w:pStyle w:val="TableHead"/>
            </w:pPr>
            <w:r>
              <w:t xml:space="preserve">Scenario</w:t>
            </w:r>
          </w:p>
        </w:tc>
        <w:tc>
          <w:tcPr>
            <w:tcW w:w="7020" w:type="dxa"/>
            <w:vAlign w:val="center"/>
            <w:shd w:val="clear" w:color="auto" w:fill="E8EEF5"/>
          </w:tcPr>
          <w:p>
            <w:pPr>
              <w:pStyle w:val="TableHead"/>
            </w:pPr>
            <w:r>
              <w:t xml:space="preserve">What to validate</w:t>
            </w:r>
          </w:p>
        </w:tc>
      </w:tr>
      <w:tr>
        <w:trPr>
          <w:cantSplit/>
        </w:trPr>
        <w:tc>
          <w:tcPr>
            <w:tcW w:w="2340" w:type="dxa"/>
            <w:vAlign w:val="center"/>
          </w:tcPr>
          <w:p>
            <w:pPr>
              <w:pStyle w:val="TableText"/>
            </w:pPr>
            <w:r>
              <w:t xml:space="preserve">Baseline and ramp</w:t>
            </w:r>
          </w:p>
        </w:tc>
        <w:tc>
          <w:tcPr>
            <w:tcW w:w="7020" w:type="dxa"/>
            <w:vAlign w:val="center"/>
          </w:tcPr>
          <w:p>
            <w:pPr>
              <w:pStyle w:val="TableText"/>
            </w:pPr>
            <w:r>
              <w:t xml:space="preserve">Increase through 100, 500, 1,000, 5,000 and 10,000 clients. Identify the first latency/throughput knee; do not skip failed stages.</w:t>
            </w:r>
          </w:p>
        </w:tc>
      </w:tr>
      <w:tr>
        <w:trPr>
          <w:cantSplit/>
        </w:trPr>
        <w:tc>
          <w:tcPr>
            <w:tcW w:w="2340" w:type="dxa"/>
            <w:vAlign w:val="center"/>
          </w:tcPr>
          <w:p>
            <w:pPr>
              <w:pStyle w:val="TableText"/>
            </w:pPr>
            <w:r>
              <w:t xml:space="preserve">Mixed traffic</w:t>
            </w:r>
          </w:p>
        </w:tc>
        <w:tc>
          <w:tcPr>
            <w:tcW w:w="7020" w:type="dxa"/>
            <w:vAlign w:val="center"/>
          </w:tcPr>
          <w:p>
            <w:pPr>
              <w:pStyle w:val="TableText"/>
            </w:pPr>
            <w:r>
              <w:t xml:space="preserve">Use an agreed real endpoint mix. Test paginated lists, ID reads, quotes, adds, edits and deletes with valid data.</w:t>
            </w:r>
          </w:p>
        </w:tc>
      </w:tr>
      <w:tr>
        <w:trPr>
          <w:cantSplit/>
        </w:trPr>
        <w:tc>
          <w:tcPr>
            <w:tcW w:w="2340" w:type="dxa"/>
            <w:vAlign w:val="center"/>
          </w:tcPr>
          <w:p>
            <w:pPr>
              <w:pStyle w:val="TableText"/>
            </w:pPr>
            <w:r>
              <w:t xml:space="preserve">Write contention</w:t>
            </w:r>
          </w:p>
        </w:tc>
        <w:tc>
          <w:tcPr>
            <w:tcW w:w="7020" w:type="dxa"/>
            <w:vAlign w:val="center"/>
          </w:tcPr>
          <w:p>
            <w:pPr>
              <w:pStyle w:val="TableText"/>
            </w:pPr>
            <w:r>
              <w:t xml:space="preserve">Run separate distributed-variant and same-variant tests; check committed increments, duplicate prevention and rollback.</w:t>
            </w:r>
          </w:p>
        </w:tc>
      </w:tr>
      <w:tr>
        <w:trPr>
          <w:cantSplit/>
        </w:trPr>
        <w:tc>
          <w:tcPr>
            <w:tcW w:w="2340" w:type="dxa"/>
            <w:vAlign w:val="center"/>
          </w:tcPr>
          <w:p>
            <w:pPr>
              <w:pStyle w:val="TableText"/>
            </w:pPr>
            <w:r>
              <w:t xml:space="preserve">Burst and soak</w:t>
            </w:r>
          </w:p>
        </w:tc>
        <w:tc>
          <w:tcPr>
            <w:tcW w:w="7020" w:type="dxa"/>
            <w:vAlign w:val="center"/>
          </w:tcPr>
          <w:p>
            <w:pPr>
              <w:pStyle w:val="TableText"/>
            </w:pPr>
            <w:r>
              <w:t xml:space="preserve">Test a 10,000-request launch window separately from sustained traffic. Hold peak for an agreed period, then run a longer soak.</w:t>
            </w:r>
          </w:p>
        </w:tc>
      </w:tr>
      <w:tr>
        <w:trPr>
          <w:cantSplit/>
        </w:trPr>
        <w:tc>
          <w:tcPr>
            <w:tcW w:w="2340" w:type="dxa"/>
            <w:vAlign w:val="center"/>
          </w:tcPr>
          <w:p>
            <w:pPr>
              <w:pStyle w:val="TableText"/>
            </w:pPr>
            <w:r>
              <w:t xml:space="preserve">Overload and failure</w:t>
            </w:r>
          </w:p>
        </w:tc>
        <w:tc>
          <w:tcPr>
            <w:tcW w:w="7020" w:type="dxa"/>
            <w:vAlign w:val="center"/>
          </w:tcPr>
          <w:p>
            <w:pPr>
              <w:pStyle w:val="TableText"/>
            </w:pPr>
            <w:r>
              <w:t xml:space="preserve">Exceed planned capacity; remove one API replica; simulate database slowness. Verify controlled rejections, recovery and stable data.</w:t>
            </w:r>
          </w:p>
        </w:tc>
      </w:tr>
    </w:tbl>
    <w:p>
      <w:pPr>
        <w:pStyle w:val="Heading2"/>
      </w:pPr>
      <w:r>
        <w:t xml:space="preserve">Measure concurrency and throughput separately</w:t>
      </w:r>
    </w:p>
    <w:p>
      <w:pPr>
        <w:pStyle w:val="Normal"/>
      </w:pPr>
      <w:r>
        <w:t xml:space="preserve">Use a VU-based scenario for concurrent clients, and an arrival-rate scenario for a fixed offered request rate. For a burst, use one request per VU with coordinated starts, document launch skew, and observe actual outstanding HTTP requests. Ten thousand VUs, open sockets or requests/second alone do not prove ten thousand requests are in flight. [6,7]</w:t>
      </w:r>
    </w:p>
    <w:p>
      <w:pPr>
        <w:pStyle w:val="Heading2"/>
      </w:pPr>
      <w:r>
        <w:t xml:space="preserve">Agree pass/fail rules before running</w:t>
      </w:r>
    </w:p>
    <w:p>
      <w:pPr>
        <w:pStyle w:val="GuideList"/>
        <w:numPr>
          <w:ilvl w:val="0"/>
          <w:numId w:val="1"/>
        </w:numPr>
      </w:pPr>
      <w:r>
        <w:t xml:space="preserve">Proposed starting SLOs for valid target traffic: p95 end-to-end latency &lt;= 1 second, p99 &lt;= 2 seconds, and unexpected errors &lt; 0.1%. These are discussion targets, not measured results; set write-specific targets if required.</w:t>
      </w:r>
    </w:p>
    <w:p>
      <w:pPr>
        <w:pStyle w:val="GuideList"/>
        <w:numPr>
          <w:ilvl w:val="0"/>
          <w:numId w:val="1"/>
        </w:numPr>
      </w:pPr>
      <w:r>
        <w:t xml:space="preserve">At the required admitted load, count all unsuccessful valid requests, including 429/503. Overload rejection is expected only in the explicitly separate overload scenario. Report percentiles by endpoint and during the peak plateau, not only across the whole run.</w:t>
      </w:r>
    </w:p>
    <w:p>
      <w:pPr>
        <w:pStyle w:val="GuideList"/>
        <w:numPr>
          <w:ilvl w:val="0"/>
          <w:numId w:val="1"/>
        </w:numPr>
      </w:pPr>
      <w:r>
        <w:t xml:space="preserve">Require zero incorrect stock changes, duplicate committed increments or unaccounted write outcomes. Confirm no growing heap, thread, connection or queue leak and recovery within an agreed time after load drops.</w:t>
      </w:r>
    </w:p>
    <w:p>
      <w:pPr>
        <w:pStyle w:val="Small"/>
      </w:pPr>
      <w:r>
        <w:t xml:space="preserve">If all 10,000 requests must succeed within a short deadline, increasing a queue merely shifts waiting time. If slow writes require asynchronous processing, a durable queue with 202 + status polling is a business/API change; acceptance is not completed processing.</w:t>
      </w:r>
    </w:p>
    <w:p>
      <w:pPr>
        <w:pStyle w:val="Heading1"/>
        <w:pageBreakBefore/>
      </w:pPr>
      <w:r>
        <w:t xml:space="preserve">5. Example k6 read concurrency test</w:t>
      </w:r>
    </w:p>
    <w:p>
      <w:pPr>
        <w:pStyle w:val="Normal"/>
      </w:pPr>
      <w:r>
        <w:t xml:space="preserve">Save this example as capacity-read.js on a load generator with k6 installed. It uses the existing GET-by-ID endpoint, so it can establish a read baseline before pagination changes. Seed valid IDs in a dedicated test environment. The defaults exercise 100 clients; raise PEAK only after smaller stages pass.</w:t>
      </w:r>
    </w:p>
    <w:p>
      <w:pPr>
        <w:pStyle w:val="Code"/>
        <w:keepNext/>
      </w:pPr>
      <w:r>
        <w:t xml:space="preserve">import http from 'k6/http';</w:t>
      </w:r>
    </w:p>
    <w:p>
      <w:pPr>
        <w:pStyle w:val="Code"/>
        <w:keepNext/>
      </w:pPr>
      <w:r>
        <w:t xml:space="preserve">import { check } from 'k6';</w:t>
      </w:r>
    </w:p>
    <w:p>
      <w:pPr>
        <w:pStyle w:val="Code"/>
        <w:keepNext/>
      </w:pPr>
      <w:r>
        <w:t xml:space="preserve">import { Trend } from 'k6/metrics';</w:t>
      </w:r>
    </w:p>
    <w:p>
      <w:pPr>
        <w:pStyle w:val="Code"/>
        <w:keepNext/>
      </w:pPr>
      <w:r>
        <w:t xml:space="preserve">const elapsed = new Trend('request_elapsed', true);</w:t>
      </w:r>
    </w:p>
    <w:p>
      <w:pPr>
        <w:pStyle w:val="Code"/>
        <w:keepNext/>
      </w:pPr>
      <w:r>
        <w:t xml:space="preserve"/>
      </w:r>
    </w:p>
    <w:p>
      <w:pPr>
        <w:pStyle w:val="Code"/>
        <w:keepNext/>
      </w:pPr>
      <w:r>
        <w:t xml:space="preserve">const base = __ENV.BASE_URL;</w:t>
      </w:r>
    </w:p>
    <w:p>
      <w:pPr>
        <w:pStyle w:val="Code"/>
        <w:keepNext/>
      </w:pPr>
      <w:r>
        <w:t xml:space="preserve">const ids = (__ENV.DUCK_IDS || '')</w:t>
      </w:r>
    </w:p>
    <w:p>
      <w:pPr>
        <w:pStyle w:val="Code"/>
        <w:keepNext/>
      </w:pPr>
      <w:r>
        <w:t xml:space="preserve">  .split(',').map(x =&gt; x.trim()).filter(Boolean);</w:t>
      </w:r>
    </w:p>
    <w:p>
      <w:pPr>
        <w:pStyle w:val="Code"/>
        <w:keepNext/>
      </w:pPr>
      <w:r>
        <w:t xml:space="preserve">const peak = Number(__ENV.PEAK || '100');</w:t>
      </w:r>
    </w:p>
    <w:p>
      <w:pPr>
        <w:pStyle w:val="Code"/>
        <w:keepNext/>
      </w:pPr>
      <w:r>
        <w:t xml:space="preserve">if (!base || ids.length === 0 ||</w:t>
      </w:r>
    </w:p>
    <w:p>
      <w:pPr>
        <w:pStyle w:val="Code"/>
        <w:keepNext/>
      </w:pPr>
      <w:r>
        <w:t xml:space="preserve">    !Number.isInteger(peak) || peak &lt; 1) {</w:t>
      </w:r>
    </w:p>
    <w:p>
      <w:pPr>
        <w:pStyle w:val="Code"/>
        <w:keepNext/>
      </w:pPr>
      <w:r>
        <w:t xml:space="preserve">  throw new Error('Set BASE_URL, DUCK_IDS and valid PEAK');</w:t>
      </w:r>
    </w:p>
    <w:p>
      <w:pPr>
        <w:pStyle w:val="Code"/>
        <w:keepNext/>
      </w:pPr>
      <w:r>
        <w:t xml:space="preserve">}</w:t>
      </w:r>
    </w:p>
    <w:p>
      <w:pPr>
        <w:pStyle w:val="Code"/>
        <w:keepNext/>
      </w:pPr>
      <w:r>
        <w:t xml:space="preserve">export const options = {</w:t>
      </w:r>
    </w:p>
    <w:p>
      <w:pPr>
        <w:pStyle w:val="Code"/>
        <w:keepNext/>
      </w:pPr>
      <w:r>
        <w:t xml:space="preserve">  discardResponseBodies: true,</w:t>
      </w:r>
    </w:p>
    <w:p>
      <w:pPr>
        <w:pStyle w:val="Code"/>
        <w:keepNext/>
      </w:pPr>
      <w:r>
        <w:t xml:space="preserve">  stages: [</w:t>
      </w:r>
    </w:p>
    <w:p>
      <w:pPr>
        <w:pStyle w:val="Code"/>
        <w:keepNext/>
      </w:pPr>
      <w:r>
        <w:t xml:space="preserve">    { duration: '2m', target: peak },</w:t>
      </w:r>
    </w:p>
    <w:p>
      <w:pPr>
        <w:pStyle w:val="Code"/>
        <w:keepNext/>
      </w:pPr>
      <w:r>
        <w:t xml:space="preserve">    { duration: '5m', target: peak },</w:t>
      </w:r>
    </w:p>
    <w:p>
      <w:pPr>
        <w:pStyle w:val="Code"/>
        <w:keepNext/>
      </w:pPr>
      <w:r>
        <w:t xml:space="preserve">    { duration: '1m', target: 0 },</w:t>
      </w:r>
    </w:p>
    <w:p>
      <w:pPr>
        <w:pStyle w:val="Code"/>
        <w:keepNext/>
      </w:pPr>
      <w:r>
        <w:t xml:space="preserve">  ],</w:t>
      </w:r>
    </w:p>
    <w:p>
      <w:pPr>
        <w:pStyle w:val="Code"/>
        <w:keepNext/>
      </w:pPr>
      <w:r>
        <w:t xml:space="preserve">  thresholds: {</w:t>
      </w:r>
    </w:p>
    <w:p>
      <w:pPr>
        <w:pStyle w:val="Code"/>
        <w:keepNext/>
      </w:pPr>
      <w:r>
        <w:t xml:space="preserve">    http_req_failed: ['rate&lt;0.001'],</w:t>
      </w:r>
    </w:p>
    <w:p>
      <w:pPr>
        <w:pStyle w:val="Code"/>
        <w:keepNext/>
      </w:pPr>
      <w:r>
        <w:t xml:space="preserve">    request_elapsed: ['p(95)&lt;1000', 'p(99)&lt;2000'],</w:t>
      </w:r>
    </w:p>
    <w:p>
      <w:pPr>
        <w:pStyle w:val="Code"/>
        <w:keepNext/>
      </w:pPr>
      <w:r>
        <w:t xml:space="preserve">    checks: ['rate&gt;0.999'],</w:t>
      </w:r>
    </w:p>
    <w:p>
      <w:pPr>
        <w:pStyle w:val="Code"/>
        <w:keepNext/>
      </w:pPr>
      <w:r>
        <w:t xml:space="preserve">  },</w:t>
      </w:r>
    </w:p>
    <w:p>
      <w:pPr>
        <w:pStyle w:val="Code"/>
        <w:keepNext/>
      </w:pPr>
      <w:r>
        <w:t xml:space="preserve">};</w:t>
      </w:r>
    </w:p>
    <w:p>
      <w:pPr>
        <w:pStyle w:val="Code"/>
        <w:keepNext/>
      </w:pPr>
      <w:r>
        <w:t xml:space="preserve">export default function () {</w:t>
      </w:r>
    </w:p>
    <w:p>
      <w:pPr>
        <w:pStyle w:val="Code"/>
        <w:keepNext/>
      </w:pPr>
      <w:r>
        <w:t xml:space="preserve">  const id = ids[(__VU + __ITER) % ids.length];</w:t>
      </w:r>
    </w:p>
    <w:p>
      <w:pPr>
        <w:pStyle w:val="Code"/>
        <w:keepNext/>
      </w:pPr>
      <w:r>
        <w:t xml:space="preserve">  const start = Date.now();</w:t>
      </w:r>
    </w:p>
    <w:p>
      <w:pPr>
        <w:pStyle w:val="Code"/>
        <w:keepNext/>
      </w:pPr>
      <w:r>
        <w:t xml:space="preserve">  const r = http.get(`${base}/api/ducks/${id}`, {</w:t>
      </w:r>
    </w:p>
    <w:p>
      <w:pPr>
        <w:pStyle w:val="Code"/>
        <w:keepNext/>
      </w:pPr>
      <w:r>
        <w:t xml:space="preserve">    timeout: '5s', tags: { name: 'GET /api/ducks/:id' },</w:t>
      </w:r>
    </w:p>
    <w:p>
      <w:pPr>
        <w:pStyle w:val="Code"/>
        <w:keepNext/>
      </w:pPr>
      <w:r>
        <w:t xml:space="preserve">  });</w:t>
      </w:r>
    </w:p>
    <w:p>
      <w:pPr>
        <w:pStyle w:val="Code"/>
        <w:keepNext/>
      </w:pPr>
      <w:r>
        <w:t xml:space="preserve">  elapsed.add(Date.now() - start);</w:t>
      </w:r>
    </w:p>
    <w:p>
      <w:pPr>
        <w:pStyle w:val="Code"/>
        <w:keepNext/>
      </w:pPr>
      <w:r>
        <w:t xml:space="preserve">  check(r, { 'HTTP 200': x =&gt; x.status === 200 });</w:t>
      </w:r>
    </w:p>
    <w:p>
      <w:pPr>
        <w:pStyle w:val="Code"/>
        <w:spacing w:before="0" w:after="100" w:line="220" w:lineRule="exact"/>
      </w:pPr>
      <w:r>
        <w:t xml:space="preserve">}</w:t>
      </w:r>
    </w:p>
    <w:p>
      <w:pPr>
        <w:pStyle w:val="Normal"/>
      </w:pPr>
      <w:r>
        <w:t xml:space="preserve">Example command (PowerShell; substitute the staging URL and seeded IDs):</w:t>
      </w:r>
    </w:p>
    <w:p>
      <w:pPr>
        <w:pStyle w:val="Code"/>
        <w:keepNext/>
      </w:pPr>
      <w:r>
        <w:t xml:space="preserve">k6 run -e BASE_URL=https://staging.example.test `</w:t>
      </w:r>
    </w:p>
    <w:p>
      <w:pPr>
        <w:pStyle w:val="Code"/>
        <w:spacing w:before="0" w:after="100" w:line="220" w:lineRule="exact"/>
      </w:pPr>
      <w:r>
        <w:t xml:space="preserve">  -e DUCK_IDS=1,2,3 -e PEAK=100 capacity-read.js</w:t>
      </w:r>
    </w:p>
    <w:p>
      <w:pPr>
        <w:pStyle w:val="Normal"/>
      </w:pPr>
      <w:r>
        <w:t xml:space="preserve">This closed-loop test allows one outstanding request per VU. It does not synchronize a burst, test writes, validate bodies, or prove 10,000 server-side in-flight requests. A few IDs focus traffic; use representative IDs for the main run. request_elapsed includes connection setup observed by the client; inspect peak-only results. [6,8]</w:t>
      </w:r>
    </w:p>
    <w:p>
      <w:pPr>
        <w:pStyle w:val="Small"/>
      </w:pPr>
      <w:r>
        <w:t xml:space="preserve">For a separate RPS test, use constant-arrival-rate with one request per iteration. Check dropped_iterations, achieved rate and generator headroom. Pre-allocate sufficient VUs; this executor supplies pacing. [7]</w:t>
      </w:r>
    </w:p>
    <w:p>
      <w:pPr>
        <w:pStyle w:val="Heading1"/>
        <w:pageBreakBefore/>
      </w:pPr>
      <w:r>
        <w:t xml:space="preserve">6. Implementation and release checklist</w:t>
      </w:r>
    </w:p>
    <w:p>
      <w:pPr>
        <w:pStyle w:val="Normal"/>
      </w:pPr>
      <w:r>
        <w:t xml:space="preserve">Use one authoritative source tree. The inspected backend is under project\duck-warehouse-springboot\duck-warehouse-api; project\Sourcecode\duck-warehouse-api is another copy. Avoid implementing a fix in one copy while packaging the other.</w:t>
      </w:r>
    </w:p>
    <w:tbl>
      <w:tblPr>
        <w:tblW w:w="9360" w:type="dxa"/>
        <w:tblInd w:w="12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bottom w:w="80" w:type="dxa"/>
          <w:start w:w="120" w:type="dxa"/>
          <w:end w:w="120" w:type="dxa"/>
        </w:tblCellMar>
      </w:tblPr>
      <w:tblGrid>
        <w:gridCol w:w="4200"/>
        <w:gridCol w:w="5160"/>
      </w:tblGrid>
      <w:tr>
        <w:trPr>
          <w:cantSplit/>
          <w:tblHeader/>
        </w:trPr>
        <w:tc>
          <w:tcPr>
            <w:tcW w:w="4200" w:type="dxa"/>
            <w:vAlign w:val="center"/>
            <w:shd w:val="clear" w:color="auto" w:fill="E8EEF5"/>
          </w:tcPr>
          <w:p>
            <w:pPr>
              <w:pStyle w:val="TableHead"/>
            </w:pPr>
            <w:r>
              <w:t xml:space="preserve">File or area</w:t>
            </w:r>
          </w:p>
        </w:tc>
        <w:tc>
          <w:tcPr>
            <w:tcW w:w="5160" w:type="dxa"/>
            <w:vAlign w:val="center"/>
            <w:shd w:val="clear" w:color="auto" w:fill="E8EEF5"/>
          </w:tcPr>
          <w:p>
            <w:pPr>
              <w:pStyle w:val="TableHead"/>
            </w:pPr>
            <w:r>
              <w:t xml:space="preserve">Planned work</w:t>
            </w:r>
          </w:p>
        </w:tc>
      </w:tr>
      <w:tr>
        <w:trPr>
          <w:cantSplit/>
        </w:trPr>
        <w:tc>
          <w:tcPr>
            <w:tcW w:w="4200" w:type="dxa"/>
            <w:vAlign w:val="center"/>
          </w:tcPr>
          <w:p>
            <w:pPr>
              <w:pStyle w:val="TableText"/>
            </w:pPr>
            <w:r>
              <w:t xml:space="preserve">warehouse/WarehouseController.java</w:t>
            </w:r>
          </w:p>
        </w:tc>
        <w:tc>
          <w:tcPr>
            <w:tcW w:w="5160" w:type="dxa"/>
            <w:vAlign w:val="center"/>
          </w:tcPr>
          <w:p>
            <w:pPr>
              <w:pStyle w:val="TableText"/>
            </w:pPr>
            <w:r>
              <w:t xml:space="preserve">Validated list parameters; bounded list API contract.</w:t>
            </w:r>
          </w:p>
        </w:tc>
      </w:tr>
      <w:tr>
        <w:trPr>
          <w:cantSplit/>
        </w:trPr>
        <w:tc>
          <w:tcPr>
            <w:tcW w:w="4200" w:type="dxa"/>
            <w:vAlign w:val="center"/>
          </w:tcPr>
          <w:p>
            <w:pPr>
              <w:pStyle w:val="TableText"/>
            </w:pPr>
            <w:r>
              <w:t xml:space="preserve">warehouse/WarehouseService.java and DuckRepository.java</w:t>
            </w:r>
          </w:p>
        </w:tc>
        <w:tc>
          <w:tcPr>
            <w:tcW w:w="5160" w:type="dxa"/>
            <w:vAlign w:val="center"/>
          </w:tcPr>
          <w:p>
            <w:pPr>
              <w:pStyle w:val="TableText"/>
            </w:pPr>
            <w:r>
              <w:t xml:space="preserve">SQL pagination; measured query changes; retain atomic writes and locks.</w:t>
            </w:r>
          </w:p>
        </w:tc>
      </w:tr>
      <w:tr>
        <w:trPr>
          <w:cantSplit/>
        </w:trPr>
        <w:tc>
          <w:tcPr>
            <w:tcW w:w="4200" w:type="dxa"/>
            <w:vAlign w:val="center"/>
          </w:tcPr>
          <w:p>
            <w:pPr>
              <w:pStyle w:val="TableText"/>
            </w:pPr>
            <w:r>
              <w:t xml:space="preserve">api/GlobalExceptionHandler.java</w:t>
            </w:r>
          </w:p>
        </w:tc>
        <w:tc>
          <w:tcPr>
            <w:tcW w:w="5160" w:type="dxa"/>
            <w:vAlign w:val="center"/>
          </w:tcPr>
          <w:p>
            <w:pPr>
              <w:pStyle w:val="TableText"/>
            </w:pPr>
            <w:r>
              <w:t xml:space="preserve">Consistent overload/acquisition/transaction errors; retry guidance.</w:t>
            </w:r>
          </w:p>
        </w:tc>
      </w:tr>
      <w:tr>
        <w:trPr>
          <w:cantSplit/>
        </w:trPr>
        <w:tc>
          <w:tcPr>
            <w:tcW w:w="4200" w:type="dxa"/>
            <w:vAlign w:val="center"/>
          </w:tcPr>
          <w:p>
            <w:pPr>
              <w:pStyle w:val="TableText"/>
            </w:pPr>
            <w:r>
              <w:t xml:space="preserve">warehouse/WriteTransactions.java; new idempotency components</w:t>
            </w:r>
          </w:p>
        </w:tc>
        <w:tc>
          <w:tcPr>
            <w:tcW w:w="5160" w:type="dxa"/>
            <w:vAlign w:val="center"/>
          </w:tcPr>
          <w:p>
            <w:pPr>
              <w:pStyle w:val="TableText"/>
            </w:pPr>
            <w:r>
              <w:t xml:space="preserve">Preserve deadlock handling; transactionally deduplicate retried adds.</w:t>
            </w:r>
          </w:p>
        </w:tc>
      </w:tr>
      <w:tr>
        <w:trPr>
          <w:cantSplit/>
        </w:trPr>
        <w:tc>
          <w:tcPr>
            <w:tcW w:w="4200" w:type="dxa"/>
            <w:vAlign w:val="center"/>
          </w:tcPr>
          <w:p>
            <w:pPr>
              <w:pStyle w:val="TableText"/>
            </w:pPr>
            <w:r>
              <w:t xml:space="preserve">pom.xml; resources/application-loadtest.yml</w:t>
            </w:r>
          </w:p>
        </w:tc>
        <w:tc>
          <w:tcPr>
            <w:tcW w:w="5160" w:type="dxa"/>
            <w:vAlign w:val="center"/>
          </w:tcPr>
          <w:p>
            <w:pPr>
              <w:pStyle w:val="TableText"/>
            </w:pPr>
            <w:r>
              <w:t xml:space="preserve">Actuator/exporter; externalized, tested resource limits and time budgets.</w:t>
            </w:r>
          </w:p>
        </w:tc>
      </w:tr>
      <w:tr>
        <w:trPr>
          <w:cantSplit/>
        </w:trPr>
        <w:tc>
          <w:tcPr>
            <w:tcW w:w="4200" w:type="dxa"/>
            <w:vAlign w:val="center"/>
          </w:tcPr>
          <w:p>
            <w:pPr>
              <w:pStyle w:val="TableText"/>
            </w:pPr>
            <w:r>
              <w:t xml:space="preserve">resources/db/migration/; React UI; deployment and tests</w:t>
            </w:r>
          </w:p>
        </w:tc>
        <w:tc>
          <w:tcPr>
            <w:tcW w:w="5160" w:type="dxa"/>
            <w:vAlign w:val="center"/>
          </w:tcPr>
          <w:p>
            <w:pPr>
              <w:pStyle w:val="TableText"/>
            </w:pPr>
            <w:r>
              <w:t xml:space="preserve">New migrations only as justified; pagination UI; replicas/LB; load and correctness checks.</w:t>
            </w:r>
          </w:p>
        </w:tc>
      </w:tr>
    </w:tbl>
    <w:p>
      <w:pPr>
        <w:pStyle w:val="Small"/>
      </w:pPr>
      <w:r>
        <w:t xml:space="preserve">Java file locations above are relative to src/main/java/com/example/ducks/. Resource locations are relative to src/main/. Proposed files and changes are a plan; none were implemented while preparing this guide.</w:t>
      </w:r>
    </w:p>
    <w:p>
      <w:pPr>
        <w:pStyle w:val="Heading2"/>
      </w:pPr>
      <w:r>
        <w:t xml:space="preserve">Deliver in this order</w:t>
      </w:r>
    </w:p>
    <w:p>
      <w:pPr>
        <w:pStyle w:val="GuideList"/>
        <w:numPr>
          <w:ilvl w:val="0"/>
          <w:numId w:val="1"/>
        </w:numPr>
      </w:pPr>
      <w:r>
        <w:t xml:space="preserve">First: agree workload/SLOs, add telemetry, record a reproducible baseline and cap the list response.</w:t>
      </w:r>
    </w:p>
    <w:p>
      <w:pPr>
        <w:pStyle w:val="GuideList"/>
        <w:numPr>
          <w:ilvl w:val="0"/>
          <w:numId w:val="1"/>
        </w:numPr>
      </w:pPr>
      <w:r>
        <w:t xml:space="preserve">Next: implement admission limits, time budgets, error mapping and write idempotency; verify business behavior and query plans.</w:t>
      </w:r>
    </w:p>
    <w:p>
      <w:pPr>
        <w:pStyle w:val="GuideList"/>
        <w:numPr>
          <w:ilvl w:val="0"/>
          <w:numId w:val="1"/>
        </w:numPr>
      </w:pPr>
      <w:r>
        <w:t xml:space="preserve">Then: measure pool/thread settings, deploy replicas with a tested shared database budget, and repeat mixed, peak, failure and soak tests.</w:t>
      </w:r>
    </w:p>
    <w:p>
      <w:pPr>
        <w:pStyle w:val="GuideList"/>
        <w:numPr>
          <w:ilvl w:val="0"/>
          <w:numId w:val="1"/>
        </w:numPr>
      </w:pPr>
      <w:r>
        <w:t xml:space="preserve">Release gradually. Drain replicas before replacement. Roll back application/config changes if latency or correctness regresses; manage schema compatibility separately.</w:t>
      </w:r>
    </w:p>
    <w:p>
      <w:pPr>
        <w:pStyle w:val="Heading2"/>
      </w:pPr>
      <w:r>
        <w:t xml:space="preserve">Record the evidence for the final capacity claim</w:t>
      </w:r>
    </w:p>
    <w:p>
      <w:pPr>
        <w:pStyle w:val="Normal"/>
      </w:pPr>
      <w:r>
        <w:t xml:space="preserve">Save the build/version, deployment topology, CPU/RAM limits, database size, replica count, pool limits, workload, generator setup, arrival window, actual in-flight requests, achieved RPS, peak p95/p99, unsuccessful requests, correctness results and recovery behavior. Claim 10,000-request support only for the tested conditions.</w:t>
      </w:r>
    </w:p>
    <w:p>
      <w:pPr>
        <w:pStyle w:val="Heading1"/>
        <w:pageBreakBefore/>
      </w:pPr>
      <w:r>
        <w:t xml:space="preserve">References and assessment boundaries</w:t>
      </w:r>
    </w:p>
    <w:p>
      <w:pPr>
        <w:pStyle w:val="Normal"/>
      </w:pPr>
      <w:r>
        <w:t xml:space="preserve">The recommendations combine the inspected project code with the primary documentation below. Example values, thresholds and topology are proposed starting points. Hardware, deployment overrides, actual data volume and acceptable business latency were not supplied.</w:t>
      </w:r>
    </w:p>
    <w:p>
      <w:pPr>
        <w:pStyle w:val="Heading2"/>
      </w:pPr>
      <w:r>
        <w:t xml:space="preserve">Project evidence</w:t>
      </w:r>
    </w:p>
    <w:p>
      <w:pPr>
        <w:pStyle w:val="Normal"/>
      </w:pPr>
      <w:r>
        <w:t xml:space="preserve">Inspected root: C:\Users\JANARDHANA.NK\Downloads\project</w:t>
      </w:r>
    </w:p>
    <w:p>
      <w:pPr>
        <w:pStyle w:val="Normal"/>
      </w:pPr>
      <w:r>
        <w:t xml:space="preserve">Backend: duck-warehouse-springboot\duck-warehouse-api</w:t>
      </w:r>
    </w:p>
    <w:p>
      <w:pPr>
        <w:pStyle w:val="GuideList"/>
        <w:numPr>
          <w:ilvl w:val="0"/>
          <w:numId w:val="1"/>
        </w:numPr>
      </w:pPr>
      <w:r>
        <w:t xml:space="preserve">pom.xml; compose.yaml; src/main/resources/application.yml.</w:t>
      </w:r>
    </w:p>
    <w:p>
      <w:pPr>
        <w:pStyle w:val="GuideList"/>
        <w:numPr>
          <w:ilvl w:val="0"/>
          <w:numId w:val="1"/>
        </w:numPr>
      </w:pPr>
      <w:r>
        <w:t xml:space="preserve">DuckRepository.java; WarehouseController.java; WarehouseService.java; WriteTransactions.java; StoreService.java; GlobalExceptionHandler.java.</w:t>
      </w:r>
    </w:p>
    <w:p>
      <w:pPr>
        <w:pStyle w:val="GuideList"/>
        <w:numPr>
          <w:ilvl w:val="0"/>
          <w:numId w:val="1"/>
        </w:numPr>
      </w:pPr>
      <w:r>
        <w:t xml:space="preserve">V1__create_ducks.sql and WarehouseIT.java. The existing database tests are conditional; their small writer groups assess correctness rather than HTTP capacity.</w:t>
      </w:r>
    </w:p>
    <w:p>
      <w:pPr>
        <w:pStyle w:val="Heading2"/>
      </w:pPr>
      <w:r>
        <w:t xml:space="preserve">Primary technical references</w:t>
      </w:r>
    </w:p>
    <w:p>
      <w:pPr>
        <w:pStyle w:val="Reference"/>
      </w:pPr>
      <w:hyperlink r:id="link1">
        <w:r>
          <w:rPr>
            <w:rStyle w:val="Hyperlink"/>
          </w:rPr>
          <w:t>[1] Spring Boot 3.5: common application properties</w:t>
        </w:r>
      </w:hyperlink>
    </w:p>
    <w:p>
      <w:pPr>
        <w:pStyle w:val="Small"/>
      </w:pPr>
      <w:r>
        <w:t xml:space="preserve">Tomcat worker/connection/queue settings and JDBC statement timeout configuration.</w:t>
      </w:r>
    </w:p>
    <w:p>
      <w:pPr>
        <w:pStyle w:val="Reference"/>
      </w:pPr>
      <w:hyperlink r:id="link2">
        <w:r>
          <w:rPr>
            <w:rStyle w:val="Hyperlink"/>
          </w:rPr>
          <w:t>[2] HikariCP: pool configuration and sizing</w:t>
        </w:r>
      </w:hyperlink>
    </w:p>
    <w:p>
      <w:pPr>
        <w:pStyle w:val="Reference"/>
      </w:pPr>
      <w:hyperlink r:id="link3">
        <w:r>
          <w:rPr>
            <w:rStyle w:val="Hyperlink"/>
          </w:rPr>
          <w:t>HikariCP: maximumPoolSize and connectionTimeout</w:t>
        </w:r>
      </w:hyperlink>
    </w:p>
    <w:p>
      <w:pPr>
        <w:pStyle w:val="Reference"/>
      </w:pPr>
      <w:hyperlink r:id="link4">
        <w:r>
          <w:rPr>
            <w:rStyle w:val="Hyperlink"/>
          </w:rPr>
          <w:t>[3] MySQL 8.4: EXPLAIN statement</w:t>
        </w:r>
      </w:hyperlink>
    </w:p>
    <w:p>
      <w:pPr>
        <w:pStyle w:val="Reference"/>
      </w:pPr>
      <w:hyperlink r:id="link5">
        <w:r>
          <w:rPr>
            <w:rStyle w:val="Hyperlink"/>
          </w:rPr>
          <w:t>[4] Spring Boot 3.5: metrics and datasource instrumentation</w:t>
        </w:r>
      </w:hyperlink>
    </w:p>
    <w:p>
      <w:pPr>
        <w:pStyle w:val="Reference"/>
      </w:pPr>
      <w:hyperlink r:id="link6">
        <w:r>
          <w:rPr>
            <w:rStyle w:val="Hyperlink"/>
          </w:rPr>
          <w:t>[5] Spring Boot 3.5: threading and virtual-thread requirements</w:t>
        </w:r>
      </w:hyperlink>
    </w:p>
    <w:p>
      <w:pPr>
        <w:pStyle w:val="Reference"/>
      </w:pPr>
      <w:hyperlink r:id="link7">
        <w:r>
          <w:rPr>
            <w:rStyle w:val="Hyperlink"/>
          </w:rPr>
          <w:t>[6] Grafana k6: ramping virtual users</w:t>
        </w:r>
      </w:hyperlink>
    </w:p>
    <w:p>
      <w:pPr>
        <w:pStyle w:val="Reference"/>
      </w:pPr>
      <w:hyperlink r:id="link8">
        <w:r>
          <w:rPr>
            <w:rStyle w:val="Hyperlink"/>
          </w:rPr>
          <w:t>[7] Grafana k6: constant arrival rate</w:t>
        </w:r>
      </w:hyperlink>
    </w:p>
    <w:p>
      <w:pPr>
        <w:pStyle w:val="Reference"/>
      </w:pPr>
      <w:hyperlink r:id="link9">
        <w:r>
          <w:rPr>
            <w:rStyle w:val="Hyperlink"/>
          </w:rPr>
          <w:t>[8] Grafana k6: request timing and built-in metrics</w:t>
        </w:r>
      </w:hyperlink>
    </w:p>
    <w:p>
      <w:pPr>
        <w:pStyle w:val="Reference"/>
      </w:pPr>
      <w:hyperlink r:id="link10">
        <w:r>
          <w:rPr>
            <w:rStyle w:val="Hyperlink"/>
          </w:rPr>
          <w:t>[9] Spring Boot 3.5: profile activation</w:t>
        </w:r>
      </w:hyperlink>
    </w:p>
    <w:p>
      <w:pPr>
        <w:pStyle w:val="Heading2"/>
      </w:pPr>
      <w:r>
        <w:t xml:space="preserve">Scope of this delivery</w:t>
      </w:r>
    </w:p>
    <w:p>
      <w:pPr>
        <w:pStyle w:val="Normal"/>
      </w:pPr>
      <w:r>
        <w:t xml:space="preserve">This delivery is an implementation and validation guide. No application source, database, deployment, WAR or JAR was changed. No service was started and no capacity test was executed. The included configuration and k6 example require implementation or preparation and validation in staging.</w:t>
      </w:r>
    </w:p>
    <w:sectPr>
      <w:headerReference w:type="default" r:id="rHeader"/>
      <w:footerReference w:type="default" r:id="rFooter"/>
      <w:pgSz w:w="12240" w:h="15840"/>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w:p>
    <w:pPr>
      <w:pStyle w:val="PageFurniture"/>
      <w:jc w:val="right"/>
    </w:pPr>
    <w:r>
      <w:t>15 October 2026 | Page </w:t>
    </w:r>
    <w:fldSimple w:instr="PAGE">
      <w:r>
        <w:t>1</w:t>
      </w:r>
    </w:fldSimple>
  </w:p>
</w:ftr>
</file>

<file path=word/header1.xml><?xml version="1.0" encoding="utf-8"?>
<w:hdr xmlns:w="http://schemas.openxmlformats.org/wordprocessingml/2006/main" xmlns:r="http://schemas.openxmlformats.org/officeDocument/2006/relationships">
  <w:p>
    <w:pPr>
      <w:pStyle w:val="PageFurniture"/>
    </w:pPr>
    <w:r>
      <w:t xml:space="preserve">DUCK WAREHOUSE / CAPACITY IMPLEMENTATION GUIDE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spacing w:before="0" w:after="80" w:line="300" w:lineRule="auto"/>
        <w:ind w:left="540" w:hanging="270"/>
      </w:pPr>
      <w:rPr>
        <w:rFonts w:ascii="Calibri" w:hAnsi="Calibri"/>
      </w:rPr>
    </w:lvl>
  </w:abstractNum>
  <w:num w:numId="1">
    <w:abstractNumId w:val="0"/>
  </w:num>
</w:numbering>
</file>

<file path=word/settings.xml><?xml version="1.0" encoding="utf-8"?>
<w:settings xmlns:w="http://schemas.openxmlformats.org/wordprocessingml/2006/main">
  <w:zoom w:percent="100"/>
  <w:defaultTabStop w:val="720"/>
  <w:autoHyphenation w:val="fals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color w:val="172033"/>
        <w:lang w:val="en-US"/>
      </w:rPr>
    </w:rPrDefault>
    <w:pPrDefault>
      <w:pPr>
        <w:widowControl/>
        <w:spacing w:before="0" w:after="120" w:line="300" w:lineRule="auto"/>
      </w:pPr>
    </w:pPrDefault>
  </w:docDefaults>
  <w:style w:type="paragraph" w:default="1" w:styleId="Normal">
    <w:name w:val="Normal"/>
    <w:qFormat/>
    <w:pPr>
      <w:spacing w:before="0" w:after="120" w:line="300" w:lineRule="auto"/>
      <w:jc w:val="left"/>
    </w:pPr>
    <w:rPr>
      <w:rFonts w:ascii="Calibri" w:hAnsi="Calibri"/>
      <w:sz w:val="22"/>
      <w:color w:val="172033"/>
    </w:rPr>
  </w:style>
  <w:style w:type="paragraph" w:styleId="Title">
    <w:name w:val="Title"/>
    <w:basedOn w:val="Normal"/>
    <w:next w:val="Subtitle"/>
    <w:qFormat/>
    <w:pPr>
      <w:keepNext/>
      <w:spacing w:before="0" w:after="100" w:line="300" w:lineRule="auto"/>
    </w:pPr>
    <w:rPr>
      <w:b/>
      <w:sz w:val="52"/>
      <w:color w:val="0B2545"/>
    </w:rPr>
  </w:style>
  <w:style w:type="paragraph" w:styleId="Subtitle">
    <w:name w:val="Subtitle"/>
    <w:basedOn w:val="Normal"/>
    <w:next w:val="Normal"/>
    <w:pPr>
      <w:keepNext/>
      <w:spacing w:before="0" w:after="140" w:line="280" w:lineRule="auto"/>
    </w:pPr>
    <w:rPr>
      <w:sz w:val="30"/>
      <w:color w:val="34465D"/>
    </w:rPr>
  </w:style>
  <w:style w:type="paragraph" w:styleId="Heading1">
    <w:name w:val="heading 1"/>
    <w:basedOn w:val="Normal"/>
    <w:next w:val="Normal"/>
    <w:qFormat/>
    <w:pPr>
      <w:keepNext/>
      <w:keepLines/>
      <w:outlineLvl w:val="0"/>
      <w:spacing w:before="360" w:after="200" w:line="300" w:lineRule="auto"/>
    </w:pPr>
    <w:rPr>
      <w:b/>
      <w:sz w:val="32"/>
      <w:color w:val="2E74B5"/>
    </w:rPr>
  </w:style>
  <w:style w:type="paragraph" w:styleId="Heading2">
    <w:name w:val="heading 2"/>
    <w:basedOn w:val="Normal"/>
    <w:next w:val="Normal"/>
    <w:qFormat/>
    <w:pPr>
      <w:keepNext/>
      <w:keepLines/>
      <w:outlineLvl w:val="1"/>
      <w:spacing w:before="280" w:after="140" w:line="300" w:lineRule="auto"/>
    </w:pPr>
    <w:rPr>
      <w:b/>
      <w:sz w:val="26"/>
      <w:color w:val="2E74B5"/>
    </w:rPr>
  </w:style>
  <w:style w:type="paragraph" w:styleId="Heading3">
    <w:name w:val="heading 3"/>
    <w:basedOn w:val="Normal"/>
    <w:next w:val="Normal"/>
    <w:pPr>
      <w:keepNext/>
      <w:outlineLvl w:val="2"/>
      <w:spacing w:before="200" w:after="100" w:line="300" w:lineRule="auto"/>
    </w:pPr>
    <w:rPr>
      <w:b/>
      <w:sz w:val="24"/>
      <w:color w:val="1F4D78"/>
    </w:rPr>
  </w:style>
  <w:style w:type="paragraph" w:styleId="GuideList">
    <w:name w:val="Guide List"/>
    <w:basedOn w:val="Normal"/>
    <w:pPr>
      <w:spacing w:before="0" w:after="80" w:line="300" w:lineRule="auto"/>
      <w:ind w:left="540" w:hanging="270"/>
      <w:tabs>
        <w:tab w:val="num" w:pos="540"/>
      </w:tabs>
    </w:pPr>
  </w:style>
  <w:style w:type="paragraph" w:styleId="TableText">
    <w:name w:val="Table Compact Text"/>
    <w:basedOn w:val="Normal"/>
    <w:pPr>
      <w:spacing w:before="0" w:after="0" w:line="260" w:lineRule="auto"/>
    </w:pPr>
    <w:rPr>
      <w:sz w:val="19"/>
    </w:rPr>
  </w:style>
  <w:style w:type="paragraph" w:styleId="TableHead">
    <w:name w:val="Table Compact Header"/>
    <w:basedOn w:val="TableText"/>
    <w:pPr>
      <w:keepNext/>
    </w:pPr>
    <w:rPr>
      <w:b/>
      <w:color w:val="0B2545"/>
    </w:rPr>
  </w:style>
  <w:style w:type="paragraph" w:styleId="Code">
    <w:name w:val="Code Example"/>
    <w:basedOn w:val="Normal"/>
    <w:pPr>
      <w:spacing w:before="0" w:after="0" w:line="220" w:lineRule="exact"/>
      <w:shd w:val="clear" w:color="auto" w:fill="F4F6F9"/>
    </w:pPr>
    <w:rPr>
      <w:rFonts w:ascii="Consolas" w:hAnsi="Consolas"/>
      <w:sz w:val="17"/>
      <w:color w:val="24344D"/>
    </w:rPr>
  </w:style>
  <w:style w:type="paragraph" w:styleId="Small">
    <w:name w:val="Evidence and Notes"/>
    <w:basedOn w:val="Normal"/>
    <w:pPr>
      <w:spacing w:before="80" w:after="80" w:line="260" w:lineRule="auto"/>
    </w:pPr>
    <w:rPr>
      <w:sz w:val="18"/>
      <w:color w:val="526174"/>
    </w:rPr>
  </w:style>
  <w:style w:type="paragraph" w:styleId="Metadata">
    <w:name w:val="Masthead Metadata"/>
    <w:basedOn w:val="Small"/>
    <w:pPr>
      <w:keepNext/>
      <w:spacing w:before="0" w:after="160" w:line="260" w:lineRule="auto"/>
    </w:pPr>
  </w:style>
  <w:style w:type="paragraph" w:styleId="Reference">
    <w:name w:val="Reference Entry"/>
    <w:basedOn w:val="Normal"/>
    <w:pPr>
      <w:spacing w:before="40" w:after="100" w:line="280" w:lineRule="auto"/>
    </w:pPr>
    <w:rPr>
      <w:sz w:val="20"/>
    </w:rPr>
  </w:style>
  <w:style w:type="paragraph" w:styleId="PageFurniture">
    <w:name w:val="Running Header Footer"/>
    <w:basedOn w:val="Normal"/>
    <w:pPr>
      <w:spacing w:before="0" w:after="0" w:line="240" w:lineRule="auto"/>
    </w:pPr>
    <w:rPr>
      <w:sz w:val="17"/>
      <w:color w:val="65748B"/>
    </w:rPr>
  </w:style>
  <w:style w:type="character" w:styleId="Hyperlink">
    <w:name w:val="Hyperlink"/>
    <w:rPr>
      <w:color w:val="21669D"/>
      <w:u w:val="single"/>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Numbering" Type="http://schemas.openxmlformats.org/officeDocument/2006/relationships/numbering" Target="numbering.xml"/><Relationship Id="rSettings" Type="http://schemas.openxmlformats.org/officeDocument/2006/relationships/settings" Target="settings.xml"/><Relationship Id="rHeader" Type="http://schemas.openxmlformats.org/officeDocument/2006/relationships/header" Target="header1.xml"/><Relationship Id="rFooter" Type="http://schemas.openxmlformats.org/officeDocument/2006/relationships/footer" Target="footer1.xml"/><Relationship Id="link1" Type="http://schemas.openxmlformats.org/officeDocument/2006/relationships/hyperlink" Target="https://docs.spring.io/spring-boot/3.5/appendix/application-properties/index.html" TargetMode="External"/><Relationship Id="link2" Type="http://schemas.openxmlformats.org/officeDocument/2006/relationships/hyperlink" Target="https://github.com/brettwooldridge/HikariCP/wiki/About-Pool-Sizing" TargetMode="External"/><Relationship Id="link3" Type="http://schemas.openxmlformats.org/officeDocument/2006/relationships/hyperlink" Target="https://github.com/brettwooldridge/HikariCP#configuration-knobs-baby" TargetMode="External"/><Relationship Id="link4" Type="http://schemas.openxmlformats.org/officeDocument/2006/relationships/hyperlink" Target="https://dev.mysql.com/doc/refman/8.4/en/explain.html" TargetMode="External"/><Relationship Id="link5" Type="http://schemas.openxmlformats.org/officeDocument/2006/relationships/hyperlink" Target="https://docs.spring.io/spring-boot/3.5/reference/actuator/metrics.html" TargetMode="External"/><Relationship Id="link6" Type="http://schemas.openxmlformats.org/officeDocument/2006/relationships/hyperlink" Target="https://docs.spring.io/spring-boot/3.5/api/java/org/springframework/boot/autoconfigure/thread/Threading.html" TargetMode="External"/><Relationship Id="link7" Type="http://schemas.openxmlformats.org/officeDocument/2006/relationships/hyperlink" Target="https://grafana.com/docs/k6/latest/using-k6/scenarios/executors/ramping-vus/" TargetMode="External"/><Relationship Id="link8" Type="http://schemas.openxmlformats.org/officeDocument/2006/relationships/hyperlink" Target="https://grafana.com/docs/k6/latest/using-k6/scenarios/executors/constant-arrival-rate/" TargetMode="External"/><Relationship Id="link9" Type="http://schemas.openxmlformats.org/officeDocument/2006/relationships/hyperlink" Target="https://grafana.com/docs/k6/latest/using-k6/metrics/reference/" TargetMode="External"/><Relationship Id="link10" Type="http://schemas.openxmlformats.org/officeDocument/2006/relationships/hyperlink" Target="https://docs.spring.io/spring-boot/3.5/reference/features/profiles.html" TargetMode="External"/></Relationships>
</file>

<file path=docProps/app.xml><?xml version="1.0" encoding="utf-8"?>
<Properties xmlns="http://schemas.openxmlformats.org/officeDocument/2006/extended-properties">
  <Application>Capacity Guide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Duck Warehouse API | Plan for 10,000 Concurrent Requests</dc:title>
  <dc:subject>Implementation and validation plan; capacity unverified</dc:subject>
  <dc:creator>Project Engineering</dc:creator>
  <cp:keywords>compact_reference_guide; memo_masthead; explicit OOXML; table/code/note styles are named overrides</cp:keywords>
  <dcterms:created xsi:type="dcterms:W3CDTF">2026-10-15T00:00:00Z</dcterms:created>
</cp:coreProperties>
</file>