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Relationship Id="rCore" Type="http://schemas.openxmlformats.org/package/2006/relationships/metadata/core-properties" Target="docProps/core.xml"/><Relationship Id="r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Duck Warehouse</w:t>
      </w:r>
    </w:p>
    <w:p>
      <w:pPr>
        <w:pStyle w:val="Subtitle"/>
      </w:pPr>
      <w:r>
        <w:t xml:space="preserve">Architecture, Process Flows and Sequence Diagrams</w:t>
      </w:r>
    </w:p>
    <w:p>
      <w:pPr>
        <w:pStyle w:val="Metadata"/>
      </w:pPr>
      <w:r>
        <w:t xml:space="preserve">Current implementation | 15 October 2026 | Warehouse UI + backend; store API only</w:t>
      </w:r>
    </w:p>
    <w:p>
      <w:pPr>
        <w:pStyle w:val="Normal"/>
      </w:pPr>
      <w:r>
        <w:t xml:space="preserve">This document describes the inspected code in the project folder. It separates the React client, Spring Boot modules, transaction boundary and MySQL data store. The diagrams describe current behavior; proposed improvements are listed on the final page.</w:t>
      </w:r>
    </w:p>
    <w:p>
      <w:pPr>
        <w:pStyle w:val="Figure"/>
        <w:keepNext/>
      </w:pPr>
      <w:r>
        <w:drawing>
          <wp:inline distT="0" distB="0" distL="0" distR="0">
            <wp:extent cx="5943600" cy="3836324"/>
            <wp:effectExtent l="0" t="0" r="0" b="0"/>
            <wp:docPr id="1" name="Diagram 1" descr="System context: warehouse user accesses React and the Vite proxy; a REST client accesses the store API; Spring Boot uses JDBC and MySQ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-context.png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1. Local development context. Vite uses :5173 for development and :4173 for preview. Its proxy forwards /api to the backend; production static hosting requires its own API forwarding.</w:t>
      </w:r>
    </w:p>
    <w:p>
      <w:pPr>
        <w:pStyle w:val="GuideList"/>
        <w:numPr>
          <w:ilvl w:val="0"/>
          <w:numId w:val="1"/>
        </w:numPr>
      </w:pPr>
      <w:r>
        <w:t xml:space="preserve">Warehouse: create, list, edit and logically delete ducks through the UI.</w:t>
      </w:r>
    </w:p>
    <w:p>
      <w:pPr>
        <w:pStyle w:val="GuideList"/>
        <w:numPr>
          <w:ilvl w:val="0"/>
          <w:numId w:val="1"/>
        </w:numPr>
      </w:pPr>
      <w:r>
        <w:t xml:space="preserve">Store: one REST endpoint calculates packaging, protections, price and itemized adjustments. It does not persist orders or consume inventory.</w:t>
      </w:r>
    </w:p>
    <w:p>
      <w:pPr>
        <w:pStyle w:val="Small"/>
      </w:pPr>
      <w:r>
        <w:t xml:space="preserve">Reading order: components and data (p2); warehouse flow and sequences (p3-7); store flow and sequence (p8-9); patterns (p10); decisions and source map (p11).</w:t>
      </w:r>
    </w:p>
    <w:p>
      <w:pPr>
        <w:pStyle w:val="Heading1"/>
        <w:pageBreakBefore/>
      </w:pPr>
      <w:r>
        <w:t xml:space="preserve">1. Backend components and data</w:t>
      </w:r>
    </w:p>
    <w:p>
      <w:pPr>
        <w:pStyle w:val="Normal"/>
      </w:pPr>
      <w:r>
        <w:t xml:space="preserve">Controllers adapt HTTP requests. Services coordinate operations; DuckRepository owns SQL. StoreService reuses warehouse data and delegates packaging and pricing to focused components.</w:t>
      </w:r>
    </w:p>
    <w:p>
      <w:pPr>
        <w:pStyle w:val="Figure"/>
        <w:keepNext/>
      </w:pPr>
      <w:r>
        <w:drawing>
          <wp:inline distT="0" distB="0" distL="0" distR="0">
            <wp:extent cx="5943600" cy="5349240"/>
            <wp:effectExtent l="0" t="0" r="0" b="0"/>
            <wp:docPr id="2" name="Diagram 2" descr="Backend components: warehouse and store controllers call their services; warehouse writes use a transaction callback; store uses packaging and pricing; the repository reaches MySQL through JDBC and Hikar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-components.png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2. Dependencies in the current code. The transaction helper invokes a Supplier callback created by WarehouseService; business repository calls remain in that callback. Strict JSON, validation, exception mapping and migrations support both modules.</w:t>
      </w:r>
    </w:p>
    <w:p>
      <w:pPr>
        <w:pStyle w:val="GuideList"/>
        <w:numPr>
          <w:ilvl w:val="0"/>
          <w:numId w:val="1"/>
        </w:numPr>
      </w:pPr>
      <w:r>
        <w:t xml:space="preserve">The database stores id, color, size, price, quantity and deleted. A generated active_marker supports uniqueness for active variants while retaining deleted history.</w:t>
      </w:r>
    </w:p>
    <w:p>
      <w:pPr>
        <w:pStyle w:val="Small"/>
      </w:pPr>
      <w:r>
        <w:t xml:space="preserve">Source: warehouse/ and store/ Java packages; config/JsonConfiguration.java; resources/db/migration/V1__create_ducks.sql. Canonical source roots are on p11.</w:t>
      </w:r>
    </w:p>
    <w:p>
      <w:pPr>
        <w:pStyle w:val="Heading1"/>
        <w:pageBreakBefore/>
      </w:pPr>
      <w:r>
        <w:t xml:space="preserve">2. Warehouse process flow</w:t>
      </w:r>
    </w:p>
    <w:p>
      <w:pPr>
        <w:pStyle w:val="Normal"/>
      </w:pPr>
      <w:r>
        <w:t xml:space="preserve">The listing is authoritative. Add and edit reuse DuckForm; deletion uses DeleteConfirmation. Every successful mutation is followed by a separate list refresh.</w:t>
      </w:r>
    </w:p>
    <w:p>
      <w:pPr>
        <w:pStyle w:val="Figure"/>
        <w:keepNext/>
      </w:pPr>
      <w:r>
        <w:drawing>
          <wp:inline distT="0" distB="0" distL="0" distR="0">
            <wp:extent cx="5943600" cy="5565371"/>
            <wp:effectExtent l="0" t="0" r="0" b="0"/>
            <wp:docPr id="3" name="Diagram 3" descr="Warehouse process flow: load active quantity-sorted rows, choose add/edit/delete, submit the corresponding API request, commit, then reload the list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-warehouse-flow.png"/>
                    <pic:cNvPicPr/>
                  </pic:nvPicPr>
                  <pic:blipFill>
                    <a:blip r:embed="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3. UI-to-API workflow. Edit opens the selected list row; the current UI does not fetch GET /api/ducks/{id} when opening its edit dialog. That endpoint is available in the backend.</w:t>
      </w:r>
    </w:p>
    <w:p>
      <w:pPr>
        <w:pStyle w:val="Normal"/>
      </w:pPr>
      <w:r>
        <w:t xml:space="preserve">Cancellation closes the dialog without a write. Client validation catches invalid form values; backend validation remains authoritative. A failed refresh retains the previous rows, marks them stale and disables mutation controls.</w:t>
      </w:r>
    </w:p>
    <w:p>
      <w:pPr>
        <w:pStyle w:val="Small"/>
      </w:pPr>
      <w:r>
        <w:t xml:space="preserve">Source: App.jsx; components/DuckForm.jsx; components/DeleteConfirmation.jsx; hooks/useWarehouse.js; api/ducks.js.</w:t>
      </w:r>
    </w:p>
    <w:p>
      <w:pPr>
        <w:pStyle w:val="Heading1"/>
        <w:pageBreakBefore/>
      </w:pPr>
      <w:r>
        <w:t xml:space="preserve">3. Sequence: list and refresh</w:t>
      </w:r>
    </w:p>
    <w:p>
      <w:pPr>
        <w:pStyle w:val="Normal"/>
      </w:pPr>
      <w:r>
        <w:t xml:space="preserve">Initial loading, manual refresh and post-mutation refresh share this read path. There is no explicit WriteTransactions wrapper for listing.</w:t>
      </w:r>
    </w:p>
    <w:p>
      <w:pPr>
        <w:pStyle w:val="Figure"/>
        <w:keepNext/>
      </w:pPr>
      <w:r>
        <w:drawing>
          <wp:inline distT="0" distB="0" distL="0" distR="0">
            <wp:extent cx="5943600" cy="5122303"/>
            <wp:effectExtent l="0" t="0" r="0" b="0"/>
            <wp:docPr id="4" name="Diagram 4" descr="List sequence from the React loading hook through the fetch client, controller, service and repository to active-row SQL, then HTTP 200 and ordered rende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-list-sequence.png"/>
                    <pic:cNvPicPr/>
                  </pic:nvPicPr>
                  <pic:blipFill>
                    <a:blip r:embed="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4. Solid arrows are calls; dashed arrows are returns. Lifelines represent logical participants. Validation and JSON serialization are framework behavior around the controller.</w:t>
      </w:r>
    </w:p>
    <w:p>
      <w:pPr>
        <w:pStyle w:val="GuideList"/>
        <w:numPr>
          <w:ilvl w:val="0"/>
          <w:numId w:val="1"/>
        </w:numPr>
      </w:pPr>
      <w:r>
        <w:t xml:space="preserve">SQL filters deleted=FALSE and orders by quantity ascending, then id.</w:t>
      </w:r>
    </w:p>
    <w:p>
      <w:pPr>
        <w:pStyle w:val="GuideList"/>
        <w:numPr>
          <w:ilvl w:val="0"/>
          <w:numId w:val="1"/>
        </w:numPr>
      </w:pPr>
      <w:r>
        <w:t xml:space="preserve">useWarehouse aborts a superseded list request and preserves the server's ordering.</w:t>
      </w:r>
    </w:p>
    <w:p>
      <w:pPr>
        <w:pStyle w:val="Small"/>
      </w:pPr>
      <w:r>
        <w:t xml:space="preserve">Source: useWarehouse.js:11; ducks.js:36; WarehouseController.java:16; DuckRepository.java:21.</w:t>
      </w:r>
    </w:p>
    <w:p>
      <w:pPr>
        <w:pStyle w:val="Heading1"/>
        <w:pageBreakBefore/>
      </w:pPr>
      <w:r>
        <w:t xml:space="preserve">4. Sequence: add or merge stock</w:t>
      </w:r>
    </w:p>
    <w:p>
      <w:pPr>
        <w:pStyle w:val="Normal"/>
      </w:pPr>
      <w:r>
        <w:t xml:space="preserve">Creation and merging both return HTTP 200 after a successful commit.</w:t>
      </w:r>
    </w:p>
    <w:p>
      <w:pPr>
        <w:pStyle w:val="Figure"/>
        <w:keepNext/>
      </w:pPr>
      <w:r>
        <w:drawing>
          <wp:inline distT="0" distB="0" distL="0" distR="0">
            <wp:extent cx="5943600" cy="6224570"/>
            <wp:effectExtent l="0" t="0" r="0" b="0"/>
            <wp:docPr id="5" name="Diagram 5" descr="Add sequence: validate POST, invoke service-owned callback in a Spring-managed transaction, atomically insert or increment, read the locked variant, commit, return 200 and refres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5-add-sequence.png"/>
                    <pic:cNvPicPr/>
                  </pic:nvPicPr>
                  <pic:blipFill>
                    <a:blip r:embed="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5. Begin/commit arrows represent Spring's transaction manager and JDBC, not SQL directly issued by WriteTransactions. Its callback contains the WarehouseService repository operation.</w:t>
      </w:r>
    </w:p>
    <w:p>
      <w:pPr>
        <w:pStyle w:val="Small"/>
      </w:pPr>
      <w:r>
        <w:t xml:space="preserve">The helper retries only MySQL deadlock 1213, at most three fresh attempts. Unknown connection/commit outcomes are not automatically retried. Source: WarehouseService.java:20; WriteTransactions.java:18; DuckRepository.java:28.</w:t>
      </w:r>
    </w:p>
    <w:p>
      <w:pPr>
        <w:pStyle w:val="Heading1"/>
        <w:pageBreakBefore/>
      </w:pPr>
      <w:r>
        <w:t xml:space="preserve">5. Sequence: simultaneous matching adds</w:t>
      </w:r>
    </w:p>
    <w:p>
      <w:pPr>
        <w:pStyle w:val="Normal"/>
      </w:pPr>
      <w:r>
        <w:t xml:space="preserve">Illustration: an existing active row has id=42 and quantity=0. Request A adds 2 units and request B adds 3. This ordering shows A winning the row lock first.</w:t>
      </w:r>
    </w:p>
    <w:p>
      <w:pPr>
        <w:pStyle w:val="Figure"/>
        <w:keepNext/>
      </w:pPr>
      <w:r>
        <w:drawing>
          <wp:inline distT="0" distB="0" distL="0" distR="0">
            <wp:extent cx="5943600" cy="4020035"/>
            <wp:effectExtent l="0" t="0" r="0" b="0"/>
            <wp:docPr id="6" name="Diagram 6" descr="Concurrent-add illustration: A increments and holds the row lock, B waits, A reads and commits, B increments the committed quantity and commits; final stock is five on the same 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6-concurrent-adds.png"/>
                    <pic:cNvPicPr/>
                  </pic:nvPicPr>
                  <pic:blipFill>
                    <a:blip r:embed="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6. Final quantity is 5 if both transactions commit and no other write intervenes. Individual responses reflect each transaction's result; they do not both have to return 5. Either request may win first.</w:t>
      </w:r>
    </w:p>
    <w:p>
      <w:pPr>
        <w:pStyle w:val="GuideList"/>
        <w:numPr>
          <w:ilvl w:val="0"/>
          <w:numId w:val="1"/>
        </w:numPr>
      </w:pPr>
      <w:r>
        <w:t xml:space="preserve">The unique key is (color, size, price, active_marker). Active rows have marker 1; deleted history has NULL.</w:t>
      </w:r>
    </w:p>
    <w:p>
      <w:pPr>
        <w:pStyle w:val="GuideList"/>
        <w:numPr>
          <w:ilvl w:val="0"/>
          <w:numId w:val="1"/>
        </w:numPr>
      </w:pPr>
      <w:r>
        <w:t xml:space="preserve">When no active row exists, uniqueness plus the atomic upsert prevents duplicate active variants. The code does not perform a separate check-then-insert.</w:t>
      </w:r>
    </w:p>
    <w:p>
      <w:pPr>
        <w:pStyle w:val="Small"/>
      </w:pPr>
      <w:r>
        <w:t xml:space="preserve">This illustrates the concurrency mechanism; it is not a load-test result. Source: V1__create_ducks.sql:8; DuckRepository.java:28; WarehouseIT.java:39.</w:t>
      </w:r>
    </w:p>
    <w:p>
      <w:pPr>
        <w:pStyle w:val="Heading1"/>
        <w:pageBreakBefore/>
      </w:pPr>
      <w:r>
        <w:t xml:space="preserve">6. Sequence: edit and logical delete</w:t>
      </w:r>
    </w:p>
    <w:p>
      <w:pPr>
        <w:pStyle w:val="Normal"/>
      </w:pPr>
      <w:r>
        <w:t xml:space="preserve">The two mutations share a transaction shape. The alt frame selects one update; it does not execute both.</w:t>
      </w:r>
    </w:p>
    <w:p>
      <w:pPr>
        <w:pStyle w:val="Figure"/>
        <w:keepNext/>
      </w:pPr>
      <w:r>
        <w:drawing>
          <wp:inline distT="0" distB="0" distL="0" distR="0">
            <wp:extent cx="5943600" cy="6224570"/>
            <wp:effectExtent l="0" t="0" r="0" b="0"/>
            <wp:docPr id="7" name="Diagram 7" descr="Edit/delete sequence: submit selected ID, invoke a transaction callback, lock the active row, choose either price/quantity update or deleted flag update, commit and return 200 or 20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7-edit-delete-sequence.png"/>
                    <pic:cNvPicPr/>
                  </pic:nvPicPr>
                  <pic:blipFill>
                    <a:blip r:embed="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7. Edit builds the response from the existing color/size and submitted price/quantity; it performs no post-update SELECT. Delete returns 204 with an empty body. The UI reloads the list after either success.</w:t>
      </w:r>
    </w:p>
    <w:p>
      <w:pPr>
        <w:pStyle w:val="Small"/>
      </w:pPr>
      <w:r>
        <w:t xml:space="preserve">Missing/deleted IDs return 404; an edit variant collision returns 409 with rollback. Out-of-range edit inputs return 400; add/merge quantity overflow returns 409. Delete requires UI confirmation; cancel sends no HTTP request. Source: WarehouseService.java:24; DuckRepository.java:25; App.jsx:61.</w:t>
      </w:r>
    </w:p>
    <w:p>
      <w:pPr>
        <w:pStyle w:val="Heading1"/>
        <w:pageBreakBefore/>
      </w:pPr>
      <w:r>
        <w:t xml:space="preserve">7. Store quote process flow</w:t>
      </w:r>
    </w:p>
    <w:p>
      <w:pPr>
        <w:pStyle w:val="Normal"/>
      </w:pPr>
      <w:r>
        <w:t xml:space="preserve">The request supplies color, size, positive integer quantity, destination country and shipping mode. Unit price comes from warehouse data.</w:t>
      </w:r>
    </w:p>
    <w:p>
      <w:pPr>
        <w:pStyle w:val="Figure"/>
        <w:keepNext/>
      </w:pPr>
      <w:r>
        <w:drawing>
          <wp:inline distT="0" distB="0" distL="0" distR="0">
            <wp:extent cx="5943600" cy="5619404"/>
            <wp:effectExtent l="0" t="0" r="0" b="0"/>
            <wp:docPr id="8" name="Diagram 8" descr="Store quote flow: validate and normalize country, choose the cheapest active sufficiently stocked single lot, return 404 or 409 when unavailable, otherwise calculate packaging/pricing and return a quo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8-store-flow.png"/>
                    <pic:cNvPicPr/>
                  </pic:nvPicPr>
                  <pic:blipFill>
                    <a:blip r:embed="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8. Price resolution chooses a single active lot with enough stock, ordered by price then id. Differently priced lots are not combined. Invalid JSON, fields, enums, extra price input or unsupported country format return 400.</w:t>
      </w:r>
    </w:p>
    <w:p>
      <w:pPr>
        <w:pStyle w:val="Normal"/>
      </w:pPr>
      <w:r>
        <w:t xml:space="preserve">The result is a snapshot quote. There is no order table, reservation, payment step or inventory decrement in this path.</w:t>
      </w:r>
    </w:p>
    <w:p>
      <w:pPr>
        <w:pStyle w:val="Small"/>
      </w:pPr>
      <w:r>
        <w:t xml:space="preserve">Source: OrderRequest.java:8; StoreService.java:20; DuckRepository.java:45; CountryPolicy.java:27.</w:t>
      </w:r>
    </w:p>
    <w:p>
      <w:pPr>
        <w:pStyle w:val="Heading1"/>
        <w:pageBreakBefore/>
      </w:pPr>
      <w:r>
        <w:t xml:space="preserve">8. Sequence: calculate a store quote</w:t>
      </w:r>
    </w:p>
    <w:p>
      <w:pPr>
        <w:pStyle w:val="Normal"/>
      </w:pPr>
      <w:r>
        <w:t xml:space="preserve">This is the success path. The preceding flowchart shows validation and stock-selection alternatives.</w:t>
      </w:r>
    </w:p>
    <w:p>
      <w:pPr>
        <w:pStyle w:val="Figure"/>
        <w:keepNext/>
      </w:pPr>
      <w:r>
        <w:drawing>
          <wp:inline distT="0" distB="0" distL="0" distR="0">
            <wp:extent cx="5943600" cy="5122303"/>
            <wp:effectExtent l="0" t="0" r="0" b="0"/>
            <wp:docPr id="9" name="Diagram 9" descr="Store quote sequence: API client sends an order, StoreService normalizes country and selects stock, then calls PackagingFactory and PricingService and returns the complete quo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9-store-sequence.png"/>
                    <pic:cNvPicPr/>
                  </pic:nvPicPr>
                  <pic:blipFill>
                    <a:blip r:embed="image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9. DuckRepository and MySQL are combined into one persistence lane for readability; they remain separate application and database components. Country normalization is a CountryPolicy call made by StoreService.</w:t>
      </w:r>
    </w:p>
    <w:p>
      <w:pPr>
        <w:pStyle w:val="Normal"/>
      </w:pPr>
      <w:r>
        <w:t xml:space="preserve">OrderResponse includes packageType, protectionTypes, totalToPay and breakdown, plus USD currency, selected warehouse ID/unit price, quantity and normalized country. Each breakdown line records code, description, basis, nullable ratePercent and signed amount.</w:t>
      </w:r>
    </w:p>
    <w:p>
      <w:pPr>
        <w:pStyle w:val="Small"/>
      </w:pPr>
      <w:r>
        <w:t xml:space="preserve">Source: StoreController.java:12; StoreService.java:20; OrderResponse.java:6; PriceLine.java:6.</w:t>
      </w:r>
    </w:p>
    <w:p>
      <w:pPr>
        <w:pStyle w:val="Heading1"/>
        <w:pageBreakBefore/>
      </w:pPr>
      <w:r>
        <w:t xml:space="preserve">9. Packaging and pricing patterns</w:t>
      </w:r>
    </w:p>
    <w:p>
      <w:pPr>
        <w:pStyle w:val="Normal"/>
      </w:pPr>
      <w:r>
        <w:t xml:space="preserve">The implementation uses a packaging factory, shipping protection strategies and an ordered pricing-rule pipeline. The strategies are lambdas in an immutable map.</w:t>
      </w:r>
    </w:p>
    <w:p>
      <w:pPr>
        <w:pStyle w:val="Figure"/>
        <w:keepNext/>
      </w:pPr>
      <w:r>
        <w:drawing>
          <wp:inline distT="0" distB="0" distL="0" distR="0">
            <wp:extent cx="5943600" cy="2863735"/>
            <wp:effectExtent l="0" t="0" r="0" b="0"/>
            <wp:docPr id="10" name="Diagram 10" descr="Packaging factory flow: size determines wood/cardboard/plastic, then shipping mode determines polystyrene balls, bubble-wrap bags or moisture-absorbing beads plus bag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0-packaging.png"/>
                    <pic:cNvPicPr/>
                  </pic:nvPicPr>
                  <pic:blipFill>
                    <a:blip r:embed="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10. In the diagram, balls means polystyrene balls, bags means bubble-wrap bags and absorbing beads means moisture-absorbing beads.</w:t>
      </w:r>
    </w:p>
    <w:p>
      <w:pPr>
        <w:pStyle w:val="Figure"/>
        <w:keepNext/>
      </w:pPr>
      <w:r>
        <w:drawing>
          <wp:inline distT="0" distB="0" distL="0" distR="0">
            <wp:extent cx="5943600" cy="3025833"/>
            <wp:effectExtent l="0" t="0" r="0" b="0"/>
            <wp:docPr id="11" name="Diagram 11" descr="Pricing pipeline: append subtotal, bulk discount, package adjustment, destination surcharge and shipping lines; independently round percentage lines to cents and sum all signed amou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1-pricing.png"/>
                    <pic:cNvPicPr/>
                  </pic:nvPicPr>
                  <pic:blipFill>
                    <a:blip r:embed="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"/>
      </w:pPr>
      <w:r>
        <w:t xml:space="preserve">Figure 11. Percentages use the original subtotal S; they do not compound. The &gt;100-unit discount starts at 101. The &gt;1000-unit air discount starts at 1001 and applies only to the air charge. Java uses BigDecimal and HALF_UP rounding.</w:t>
      </w:r>
    </w:p>
    <w:p>
      <w:pPr>
        <w:pStyle w:val="Small"/>
      </w:pPr>
      <w:r>
        <w:t xml:space="preserve">Source: PackagingFactory.java:11; PricingService.java:11; PricingRules.java:10.</w:t>
      </w:r>
    </w:p>
    <w:p>
      <w:pPr>
        <w:pStyle w:val="Heading1"/>
        <w:pageBreakBefore/>
      </w:pPr>
      <w:r>
        <w:t xml:space="preserve">10. Decisions, boundaries and source map</w:t>
      </w:r>
    </w:p>
    <w:p>
      <w:pPr>
        <w:pStyle w:val="Heading2"/>
      </w:pPr>
      <w:r>
        <w:t xml:space="preserve">Current implementation decisions</w:t>
      </w:r>
    </w:p>
    <w:p>
      <w:pPr>
        <w:pStyle w:val="GuideList"/>
        <w:numPr>
          <w:ilvl w:val="0"/>
          <w:numId w:val="1"/>
        </w:numPr>
      </w:pPr>
      <w:r>
        <w:t xml:space="preserve">Money uses BigDecimal and MySQL DECIMAL(12,2), rather than the exercise's Double declaration. Java enums preserve the required JSON labels.</w:t>
      </w:r>
    </w:p>
    <w:p>
      <w:pPr>
        <w:pStyle w:val="GuideList"/>
        <w:numPr>
          <w:ilvl w:val="0"/>
          <w:numId w:val="1"/>
        </w:numPr>
      </w:pPr>
      <w:r>
        <w:t xml:space="preserve">The Java Duck record exposes five fields. The database contains deleted and enforces soft deletion; an explicit six-field persistence model would make entity conformance clearer.</w:t>
      </w:r>
    </w:p>
    <w:p>
      <w:pPr>
        <w:pStyle w:val="GuideList"/>
        <w:numPr>
          <w:ilvl w:val="0"/>
          <w:numId w:val="1"/>
        </w:numPr>
      </w:pPr>
      <w:r>
        <w:t xml:space="preserve">Edits replace absolute quantity and price, using last-write-wins behavior. Add/add merging is protected, but stale edits can overwrite intervening changes.</w:t>
      </w:r>
    </w:p>
    <w:p>
      <w:pPr>
        <w:pStyle w:val="GuideList"/>
        <w:numPr>
          <w:ilvl w:val="0"/>
          <w:numId w:val="1"/>
        </w:numPr>
      </w:pPr>
      <w:r>
        <w:t xml:space="preserve">Country input accepts ISO alpha-2 codes and documented aliases for USA, Bolivia and India. All percentage adjustments use the original subtotal.</w:t>
      </w:r>
    </w:p>
    <w:p>
      <w:pPr>
        <w:pStyle w:val="Heading2"/>
      </w:pPr>
      <w:r>
        <w:t xml:space="preserve">Review items; not implemented by these diagrams</w:t>
      </w:r>
    </w:p>
    <w:p>
      <w:pPr>
        <w:pStyle w:val="Normal"/>
      </w:pPr>
      <w:r>
        <w:t xml:space="preserve">Handle transaction-acquisition wrappers consistently in GlobalExceptionHandler; clarify the entity/type contract; add rendered CRUD and successful store HTTP tests. Pagination, idempotency and measured capacity work belong to the separate scaling plan.</w:t>
      </w:r>
    </w:p>
    <w:p>
      <w:pPr>
        <w:pStyle w:val="Heading2"/>
      </w:pPr>
      <w:r>
        <w:t xml:space="preserve">Code-to-diagram map</w:t>
      </w:r>
    </w:p>
    <w:tbl>
      <w:tblPr>
        <w:tblW w:w="9360" w:type="dxa"/>
        <w:tblInd w:w="12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520"/>
        <w:gridCol w:w="6840"/>
      </w:tblGrid>
      <w:tr>
        <w:trPr>
          <w:cantSplit/>
          <w:tblHeader/>
        </w:trPr>
        <w:tc>
          <w:tcPr>
            <w:tcW w:w="2520" w:type="dxa"/>
            <w:vAlign w:val="center"/>
            <w:shd w:val="clear" w:color="auto" w:fill="E8EEF5"/>
          </w:tcPr>
          <w:p>
            <w:pPr>
              <w:pStyle w:val="TableHead"/>
            </w:pPr>
            <w:r>
              <w:t xml:space="preserve">Diagrams</w:t>
            </w:r>
          </w:p>
        </w:tc>
        <w:tc>
          <w:tcPr>
            <w:tcW w:w="6840" w:type="dxa"/>
            <w:vAlign w:val="center"/>
            <w:shd w:val="clear" w:color="auto" w:fill="E8EEF5"/>
          </w:tcPr>
          <w:p>
            <w:pPr>
              <w:pStyle w:val="TableHead"/>
            </w:pPr>
            <w:r>
              <w:t xml:space="preserve">Primary source files</w:t>
            </w:r>
          </w:p>
        </w:tc>
      </w:tr>
      <w:tr>
        <w:trPr>
          <w:cantSplit/>
        </w:trPr>
        <w:tc>
          <w:tcPr>
            <w:tcW w:w="2520" w:type="dxa"/>
            <w:vAlign w:val="center"/>
          </w:tcPr>
          <w:p>
            <w:pPr>
              <w:pStyle w:val="TableText"/>
            </w:pPr>
            <w:r>
              <w:t xml:space="preserve">Context and components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 xml:space="preserve">vite.config.js; WarehouseController; WarehouseService; StoreController; StoreService; DuckRepository.</w:t>
            </w:r>
          </w:p>
        </w:tc>
      </w:tr>
      <w:tr>
        <w:trPr>
          <w:cantSplit/>
        </w:trPr>
        <w:tc>
          <w:tcPr>
            <w:tcW w:w="2520" w:type="dxa"/>
            <w:vAlign w:val="center"/>
          </w:tcPr>
          <w:p>
            <w:pPr>
              <w:pStyle w:val="TableText"/>
            </w:pPr>
            <w:r>
              <w:t xml:space="preserve">Warehouse UI flow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 xml:space="preserve">App.jsx; useWarehouse.js; DuckForm.jsx; DeleteConfirmation.jsx; ducks.js.</w:t>
            </w:r>
          </w:p>
        </w:tc>
      </w:tr>
      <w:tr>
        <w:trPr>
          <w:cantSplit/>
        </w:trPr>
        <w:tc>
          <w:tcPr>
            <w:tcW w:w="2520" w:type="dxa"/>
            <w:vAlign w:val="center"/>
          </w:tcPr>
          <w:p>
            <w:pPr>
              <w:pStyle w:val="TableText"/>
            </w:pPr>
            <w:r>
              <w:t xml:space="preserve">List / add / edit / delete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 xml:space="preserve">WarehouseService.java; WriteTransactions.java; DuckRepository.java.</w:t>
            </w:r>
          </w:p>
        </w:tc>
      </w:tr>
      <w:tr>
        <w:trPr>
          <w:cantSplit/>
        </w:trPr>
        <w:tc>
          <w:tcPr>
            <w:tcW w:w="2520" w:type="dxa"/>
            <w:vAlign w:val="center"/>
          </w:tcPr>
          <w:p>
            <w:pPr>
              <w:pStyle w:val="TableText"/>
            </w:pPr>
            <w:r>
              <w:t xml:space="preserve">Concurrent adds and data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 xml:space="preserve">V1__create_ducks.sql; DuckRepository.java; WarehouseIT.java.</w:t>
            </w:r>
          </w:p>
        </w:tc>
      </w:tr>
      <w:tr>
        <w:trPr>
          <w:cantSplit/>
        </w:trPr>
        <w:tc>
          <w:tcPr>
            <w:tcW w:w="2520" w:type="dxa"/>
            <w:vAlign w:val="center"/>
          </w:tcPr>
          <w:p>
            <w:pPr>
              <w:pStyle w:val="TableText"/>
            </w:pPr>
            <w:r>
              <w:t xml:space="preserve">Store flow and patterns</w:t>
            </w:r>
          </w:p>
        </w:tc>
        <w:tc>
          <w:tcPr>
            <w:tcW w:w="6840" w:type="dxa"/>
            <w:vAlign w:val="center"/>
          </w:tcPr>
          <w:p>
            <w:pPr>
              <w:pStyle w:val="TableText"/>
            </w:pPr>
            <w:r>
              <w:t xml:space="preserve">OrderRequest; StoreService; CountryPolicy; PackagingFactory; PricingService; PricingRules; OrderResponse.</w:t>
            </w:r>
          </w:p>
        </w:tc>
      </w:tr>
    </w:tbl>
    <w:p>
      <w:pPr>
        <w:pStyle w:val="Small"/>
      </w:pPr>
      <w:r>
        <w:t xml:space="preserve">Backend root: project/duck-warehouse-springboot/duck-warehouse-api/src/main/java/com/example/ducks/. Frontend root: project/duck-warehouse-react-ui/duck-warehouse-ui/src/. SQL migrations are under backend src/main/resources/db/migration/.</w:t>
      </w:r>
    </w:p>
    <w:p>
      <w:pPr>
        <w:pStyle w:val="Small"/>
      </w:pPr>
      <w:r>
        <w:t xml:space="preserve">Prepared from source inspection. The previous review ran nine frontend helper/API tests successfully; live MySQL concurrency and full browser flows were not exercised. No application, database, WAR or JAR was changed to create this document.</w:t>
      </w:r>
    </w:p>
    <w:sectPr>
      <w:headerReference w:type="default" r:id="rHeader"/>
      <w:footerReference w:type="default" r:id="rFooter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PageFurniture"/>
      <w:jc w:val="right"/>
    </w:pPr>
    <w:r>
      <w:t>15 October 2026 | Page </w:t>
    </w:r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PageFurniture"/>
    </w:pPr>
    <w:r>
      <w:t xml:space="preserve">DUCK WAREHOUSE / ARCHITECTURE AND SEQUENCE DIAGRAMS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300" w:lineRule="auto"/>
        <w:ind w:left="540" w:hanging="270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color w:val="172033"/>
        <w:lang w:val="en-US"/>
      </w:rPr>
    </w:rPrDefault>
    <w:pPrDefault>
      <w:pPr>
        <w:widowControl/>
        <w:spacing w:before="0" w:after="120" w:line="300" w:lineRule="auto"/>
      </w:pPr>
    </w:pPrDefault>
  </w:docDefaults>
  <w:style w:type="paragraph" w:default="1" w:styleId="Normal">
    <w:name w:val="Normal"/>
    <w:qFormat/>
    <w:pPr>
      <w:spacing w:before="0" w:after="120" w:line="300" w:lineRule="auto"/>
      <w:jc w:val="left"/>
    </w:pPr>
    <w:rPr>
      <w:rFonts w:ascii="Calibri" w:hAnsi="Calibri"/>
      <w:sz w:val="22"/>
      <w:color w:val="172033"/>
    </w:rPr>
  </w:style>
  <w:style w:type="paragraph" w:styleId="Title">
    <w:name w:val="Title"/>
    <w:basedOn w:val="Normal"/>
    <w:next w:val="Subtitle"/>
    <w:qFormat/>
    <w:pPr>
      <w:keepNext/>
      <w:spacing w:before="0" w:after="100" w:line="300" w:lineRule="auto"/>
    </w:pPr>
    <w:rPr>
      <w:b/>
      <w:sz w:val="52"/>
      <w:color w:val="0B2545"/>
    </w:rPr>
  </w:style>
  <w:style w:type="paragraph" w:styleId="Subtitle">
    <w:name w:val="Subtitle"/>
    <w:basedOn w:val="Normal"/>
    <w:next w:val="Normal"/>
    <w:pPr>
      <w:keepNext/>
      <w:spacing w:before="0" w:after="140" w:line="280" w:lineRule="auto"/>
    </w:pPr>
    <w:rPr>
      <w:sz w:val="30"/>
      <w:color w:val="34465D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  <w:spacing w:before="360" w:after="200" w:line="300" w:lineRule="auto"/>
    </w:pPr>
    <w:rPr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  <w:spacing w:before="280" w:after="140" w:line="300" w:lineRule="auto"/>
    </w:pPr>
    <w:rPr>
      <w:b/>
      <w:sz w:val="26"/>
      <w:color w:val="2E74B5"/>
    </w:rPr>
  </w:style>
  <w:style w:type="paragraph" w:styleId="Heading3">
    <w:name w:val="heading 3"/>
    <w:basedOn w:val="Normal"/>
    <w:next w:val="Normal"/>
    <w:pPr>
      <w:keepNext/>
      <w:outlineLvl w:val="2"/>
      <w:spacing w:before="200" w:after="100" w:line="300" w:lineRule="auto"/>
    </w:pPr>
    <w:rPr>
      <w:b/>
      <w:sz w:val="24"/>
      <w:color w:val="1F4D78"/>
    </w:rPr>
  </w:style>
  <w:style w:type="paragraph" w:styleId="GuideList">
    <w:name w:val="Guide List"/>
    <w:basedOn w:val="Normal"/>
    <w:pPr>
      <w:spacing w:before="0" w:after="80" w:line="300" w:lineRule="auto"/>
      <w:ind w:left="540" w:hanging="270"/>
      <w:tabs>
        <w:tab w:val="num" w:pos="540"/>
      </w:tabs>
    </w:pPr>
  </w:style>
  <w:style w:type="paragraph" w:styleId="TableText">
    <w:name w:val="Table Compact Text"/>
    <w:basedOn w:val="Normal"/>
    <w:pPr>
      <w:spacing w:before="0" w:after="0" w:line="260" w:lineRule="auto"/>
    </w:pPr>
    <w:rPr>
      <w:sz w:val="19"/>
    </w:rPr>
  </w:style>
  <w:style w:type="paragraph" w:styleId="TableHead">
    <w:name w:val="Table Compact Header"/>
    <w:basedOn w:val="TableText"/>
    <w:pPr>
      <w:keepNext/>
    </w:pPr>
    <w:rPr>
      <w:b/>
      <w:color w:val="0B2545"/>
    </w:rPr>
  </w:style>
  <w:style w:type="paragraph" w:styleId="Code">
    <w:name w:val="Code Example"/>
    <w:basedOn w:val="Normal"/>
    <w:pPr>
      <w:spacing w:before="0" w:after="0" w:line="220" w:lineRule="exact"/>
      <w:shd w:val="clear" w:color="auto" w:fill="F4F6F9"/>
    </w:pPr>
    <w:rPr>
      <w:rFonts w:ascii="Consolas" w:hAnsi="Consolas"/>
      <w:sz w:val="17"/>
      <w:color w:val="24344D"/>
    </w:rPr>
  </w:style>
  <w:style w:type="paragraph" w:styleId="Small">
    <w:name w:val="Evidence and Notes"/>
    <w:basedOn w:val="Normal"/>
    <w:pPr>
      <w:spacing w:before="80" w:after="80" w:line="260" w:lineRule="auto"/>
    </w:pPr>
    <w:rPr>
      <w:sz w:val="18"/>
      <w:color w:val="526174"/>
    </w:rPr>
  </w:style>
  <w:style w:type="paragraph" w:styleId="Metadata">
    <w:name w:val="Masthead Metadata"/>
    <w:basedOn w:val="Small"/>
    <w:pPr>
      <w:keepNext/>
      <w:spacing w:before="0" w:after="160" w:line="260" w:lineRule="auto"/>
    </w:pPr>
  </w:style>
  <w:style w:type="paragraph" w:styleId="Figure">
    <w:name w:val="Architecture Figure"/>
    <w:basedOn w:val="Normal"/>
    <w:pPr>
      <w:spacing w:before="0" w:after="60" w:line="240" w:lineRule="auto"/>
      <w:jc w:val="center"/>
    </w:pPr>
  </w:style>
  <w:style w:type="paragraph" w:styleId="Reference">
    <w:name w:val="Reference Entry"/>
    <w:basedOn w:val="Normal"/>
    <w:pPr>
      <w:spacing w:before="40" w:after="100" w:line="280" w:lineRule="auto"/>
    </w:pPr>
    <w:rPr>
      <w:sz w:val="20"/>
    </w:rPr>
  </w:style>
  <w:style w:type="paragraph" w:styleId="PageFurniture">
    <w:name w:val="Running Header Footer"/>
    <w:basedOn w:val="Normal"/>
    <w:pPr>
      <w:spacing w:before="0" w:after="0" w:line="240" w:lineRule="auto"/>
    </w:pPr>
    <w:rPr>
      <w:sz w:val="17"/>
      <w:color w:val="65748B"/>
    </w:rPr>
  </w:style>
  <w:style w:type="character" w:styleId="Hyperlink">
    <w:name w:val="Hyperlink"/>
    <w:rPr>
      <w:color w:val="21669D"/>
      <w:u w:val="single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Settings" Type="http://schemas.openxmlformats.org/officeDocument/2006/relationships/settings" Target="settings.xml"/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image1" Type="http://schemas.openxmlformats.org/officeDocument/2006/relationships/image" Target="media/01-context.png"/><Relationship Id="image2" Type="http://schemas.openxmlformats.org/officeDocument/2006/relationships/image" Target="media/02-components.png"/><Relationship Id="image3" Type="http://schemas.openxmlformats.org/officeDocument/2006/relationships/image" Target="media/03-warehouse-flow.png"/><Relationship Id="image4" Type="http://schemas.openxmlformats.org/officeDocument/2006/relationships/image" Target="media/04-list-sequence.png"/><Relationship Id="image5" Type="http://schemas.openxmlformats.org/officeDocument/2006/relationships/image" Target="media/05-add-sequence.png"/><Relationship Id="image6" Type="http://schemas.openxmlformats.org/officeDocument/2006/relationships/image" Target="media/06-concurrent-adds.png"/><Relationship Id="image7" Type="http://schemas.openxmlformats.org/officeDocument/2006/relationships/image" Target="media/07-edit-delete-sequence.png"/><Relationship Id="image8" Type="http://schemas.openxmlformats.org/officeDocument/2006/relationships/image" Target="media/08-store-flow.png"/><Relationship Id="image9" Type="http://schemas.openxmlformats.org/officeDocument/2006/relationships/image" Target="media/09-store-sequence.png"/><Relationship Id="image10" Type="http://schemas.openxmlformats.org/officeDocument/2006/relationships/image" Target="media/10-packaging.png"/><Relationship Id="image11" Type="http://schemas.openxmlformats.org/officeDocument/2006/relationships/image" Target="media/11-pricing.png"/></Relationships>
</file>

<file path=docProps/app.xml><?xml version="1.0" encoding="utf-8"?>
<Properties xmlns="http://schemas.openxmlformats.org/officeDocument/2006/extended-properties">
  <Application>Capacity Guide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Duck Warehouse - Architecture, Process Flows and Sequence Diagrams</dc:title>
  <dc:subject>Current implementation architecture, process flows and sequence diagrams</dc:subject>
  <dc:creator>Project Engineering</dc:creator>
  <cp:keywords>compact_reference_guide; memo_masthead; explicit OOXML; table/code/note styles are named overrides</cp:keywords>
  <dcterms:created xsi:type="dcterms:W3CDTF">2026-10-15T00:00:00Z</dcterms:created>
</cp:coreProperties>
</file>