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4D8F0">
      <w:pPr>
        <w:tabs>
          <w:tab w:val="left" w:pos="8205"/>
        </w:tabs>
        <w:spacing w:line="240" w:lineRule="auto"/>
        <w:ind w:left="570" w:right="0" w:firstLine="0"/>
        <w:rPr>
          <w:rFonts w:ascii="Times New Roman"/>
          <w:position w:val="2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1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BE99">
      <w:pPr>
        <w:pStyle w:val="2"/>
        <w:jc w:val="center"/>
      </w:pPr>
      <w:r>
        <w:rPr>
          <w:b/>
          <w:sz w:val="36"/>
        </w:rPr>
        <w:t>Scalability &amp; Future Plan</w:t>
      </w:r>
    </w:p>
    <w:p w14:paraId="76A51D88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57CB61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2820" w:type="dxa"/>
            <w:vAlign w:val="center"/>
          </w:tcPr>
          <w:p w14:paraId="5C09A347">
            <w:pPr>
              <w:pStyle w:val="9"/>
              <w:spacing w:before="111" w:after="20"/>
              <w:ind w:left="127"/>
              <w:rPr>
                <w:b/>
                <w:sz w:val="20"/>
              </w:rPr>
            </w:pPr>
            <w:r>
              <w:rPr>
                <w:rFonts w:ascii="Calibri" w:hAnsi="Calibri"/>
                <w:b/>
                <w:spacing w:val="-4"/>
                <w:sz w:val="16"/>
              </w:rPr>
              <w:t>Date</w:t>
            </w:r>
          </w:p>
        </w:tc>
        <w:tc>
          <w:tcPr>
            <w:tcW w:w="6820" w:type="dxa"/>
            <w:vAlign w:val="center"/>
          </w:tcPr>
          <w:p w14:paraId="34048ECF">
            <w:pPr>
              <w:spacing w:after="20"/>
            </w:pPr>
            <w:r>
              <w:rPr>
                <w:rFonts w:ascii="Calibri" w:hAnsi="Calibri"/>
                <w:sz w:val="16"/>
              </w:rPr>
              <w:t>30 September 2026</w:t>
            </w:r>
          </w:p>
        </w:tc>
      </w:tr>
      <w:tr w14:paraId="2B82E7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820" w:type="dxa"/>
            <w:vAlign w:val="center"/>
          </w:tcPr>
          <w:p w14:paraId="7B162FE5"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Members</w:t>
            </w:r>
          </w:p>
        </w:tc>
        <w:tc>
          <w:tcPr>
            <w:tcW w:w="6820" w:type="dxa"/>
            <w:vAlign w:val="center"/>
          </w:tcPr>
          <w:p w14:paraId="19A66E07">
            <w:pPr>
              <w:spacing w:after="20"/>
            </w:pPr>
            <w:r>
              <w:rPr>
                <w:rFonts w:ascii="Calibri" w:hAnsi="Calibri"/>
                <w:sz w:val="16"/>
              </w:rPr>
              <w:t xml:space="preserve">1. </w:t>
            </w:r>
            <w:r>
              <w:rPr>
                <w:rFonts w:hint="default"/>
                <w:sz w:val="16"/>
                <w:lang w:val="en-US"/>
              </w:rPr>
              <w:t>Janasakthi.M</w:t>
            </w:r>
            <w:r>
              <w:rPr>
                <w:rFonts w:ascii="Calibri" w:hAnsi="Calibri"/>
                <w:sz w:val="16"/>
              </w:rPr>
              <w:br w:type="textWrapping"/>
            </w:r>
            <w:r>
              <w:rPr>
                <w:rFonts w:ascii="Calibri" w:hAnsi="Calibri"/>
                <w:sz w:val="16"/>
              </w:rPr>
              <w:t xml:space="preserve">2. </w:t>
            </w:r>
            <w:r>
              <w:rPr>
                <w:rFonts w:hint="default"/>
                <w:sz w:val="16"/>
                <w:lang w:val="en-US"/>
              </w:rPr>
              <w:t>Kishor</w:t>
            </w:r>
            <w:r>
              <w:rPr>
                <w:rFonts w:ascii="Calibri" w:hAnsi="Calibri"/>
                <w:sz w:val="16"/>
              </w:rPr>
              <w:t>.S</w:t>
            </w:r>
            <w:r>
              <w:rPr>
                <w:rFonts w:ascii="Calibri" w:hAnsi="Calibri"/>
                <w:sz w:val="16"/>
              </w:rPr>
              <w:br w:type="textWrapping"/>
            </w:r>
            <w:r>
              <w:rPr>
                <w:rFonts w:ascii="Calibri" w:hAnsi="Calibri"/>
                <w:sz w:val="16"/>
              </w:rPr>
              <w:t xml:space="preserve">3. </w:t>
            </w:r>
            <w:r>
              <w:rPr>
                <w:rFonts w:hint="default"/>
                <w:sz w:val="16"/>
                <w:lang w:val="en-US"/>
              </w:rPr>
              <w:t>Girivasan.D</w:t>
            </w:r>
            <w:r>
              <w:rPr>
                <w:rFonts w:ascii="Calibri" w:hAnsi="Calibri"/>
                <w:sz w:val="16"/>
              </w:rPr>
              <w:br w:type="textWrapping"/>
            </w:r>
          </w:p>
        </w:tc>
      </w:tr>
      <w:tr w14:paraId="01EAA1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2820" w:type="dxa"/>
            <w:vAlign w:val="center"/>
          </w:tcPr>
          <w:p w14:paraId="39E03587">
            <w:pPr>
              <w:pStyle w:val="9"/>
              <w:spacing w:before="106" w:after="20"/>
              <w:ind w:left="127"/>
              <w:rPr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16"/>
              </w:rPr>
              <w:t>Team</w:t>
            </w:r>
            <w:r>
              <w:rPr>
                <w:rFonts w:ascii="Calibri" w:hAnsi="Calibri"/>
                <w:b/>
                <w:spacing w:val="-12"/>
                <w:sz w:val="16"/>
              </w:rPr>
              <w:t xml:space="preserve"> </w:t>
            </w:r>
            <w:r>
              <w:rPr>
                <w:rFonts w:ascii="Calibri" w:hAnsi="Calibri"/>
                <w:b/>
                <w:spacing w:val="-5"/>
                <w:sz w:val="16"/>
              </w:rPr>
              <w:t>ID</w:t>
            </w:r>
          </w:p>
        </w:tc>
        <w:tc>
          <w:tcPr>
            <w:tcW w:w="6820" w:type="dxa"/>
            <w:vAlign w:val="center"/>
          </w:tcPr>
          <w:p w14:paraId="6A4125A9">
            <w:pPr>
              <w:spacing w:after="20"/>
              <w:rPr>
                <w:rFonts w:hint="default"/>
                <w:lang w:val="en-US"/>
              </w:rPr>
            </w:pPr>
            <w:r>
              <w:rPr>
                <w:rFonts w:ascii="Calibri" w:hAnsi="Calibri"/>
                <w:sz w:val="16"/>
              </w:rPr>
              <w:t>SWTID-2026-</w:t>
            </w:r>
            <w:r>
              <w:rPr>
                <w:rFonts w:hint="default"/>
                <w:sz w:val="16"/>
                <w:lang w:val="en-US"/>
              </w:rPr>
              <w:t>8485</w:t>
            </w:r>
            <w:bookmarkStart w:id="4" w:name="_GoBack"/>
            <w:bookmarkEnd w:id="4"/>
          </w:p>
        </w:tc>
      </w:tr>
      <w:tr w14:paraId="6A2F8C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  <w:jc w:val="center"/>
        </w:trPr>
        <w:tc>
          <w:tcPr>
            <w:tcW w:w="2820" w:type="dxa"/>
            <w:vAlign w:val="center"/>
          </w:tcPr>
          <w:p w14:paraId="0B3890D8">
            <w:pPr>
              <w:pStyle w:val="9"/>
              <w:spacing w:before="101" w:after="20"/>
              <w:ind w:left="127"/>
              <w:rPr>
                <w:b/>
                <w:sz w:val="20"/>
              </w:rPr>
            </w:pPr>
            <w:r>
              <w:rPr>
                <w:rFonts w:ascii="Calibri" w:hAnsi="Calibri"/>
                <w:b/>
                <w:sz w:val="16"/>
              </w:rPr>
              <w:t>Project</w:t>
            </w:r>
            <w:r>
              <w:rPr>
                <w:rFonts w:ascii="Calibri" w:hAnsi="Calibri"/>
                <w:b/>
                <w:spacing w:val="-7"/>
                <w:sz w:val="16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16"/>
              </w:rPr>
              <w:t>Name</w:t>
            </w:r>
          </w:p>
        </w:tc>
        <w:tc>
          <w:tcPr>
            <w:tcW w:w="6820" w:type="dxa"/>
            <w:vAlign w:val="center"/>
          </w:tcPr>
          <w:p w14:paraId="01A91500">
            <w:pPr>
              <w:spacing w:after="20"/>
            </w:pPr>
            <w:r>
              <w:rPr>
                <w:rFonts w:ascii="Calibri" w:hAnsi="Calibri"/>
                <w:sz w:val="16"/>
              </w:rPr>
              <w:t>LegalEase AI</w:t>
            </w:r>
          </w:p>
        </w:tc>
      </w:tr>
      <w:tr w14:paraId="054576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2820" w:type="dxa"/>
            <w:vAlign w:val="center"/>
          </w:tcPr>
          <w:p w14:paraId="33678C14"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Maximum Marks</w:t>
            </w:r>
          </w:p>
        </w:tc>
        <w:tc>
          <w:tcPr>
            <w:tcW w:w="6820" w:type="dxa"/>
            <w:vAlign w:val="center"/>
          </w:tcPr>
          <w:p w14:paraId="2E4C3DD7">
            <w:pPr>
              <w:spacing w:after="20"/>
            </w:pPr>
            <w:r>
              <w:rPr>
                <w:rFonts w:ascii="Calibri" w:hAnsi="Calibri"/>
                <w:sz w:val="16"/>
              </w:rPr>
              <w:t>1 Mark</w:t>
            </w:r>
          </w:p>
        </w:tc>
      </w:tr>
    </w:tbl>
    <w:p w14:paraId="5E4B1EBE">
      <w:pPr>
        <w:pStyle w:val="6"/>
        <w:spacing w:before="210"/>
        <w:rPr>
          <w:rFonts w:ascii="Arial"/>
          <w:b/>
          <w:sz w:val="28"/>
        </w:rPr>
      </w:pPr>
    </w:p>
    <w:p w14:paraId="62E3831F">
      <w:pPr>
        <w:pStyle w:val="3"/>
      </w:pPr>
      <w:bookmarkStart w:id="0" w:name="Scalability &amp; Future Plan: 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14:paraId="14CECE20">
      <w:pPr>
        <w:pStyle w:val="6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1EE9D665">
      <w:pPr>
        <w:pStyle w:val="6"/>
      </w:pPr>
    </w:p>
    <w:p w14:paraId="7DBA3780">
      <w:pPr>
        <w:pStyle w:val="6"/>
        <w:spacing w:before="57"/>
      </w:pPr>
    </w:p>
    <w:p w14:paraId="6F0851F7">
      <w:pPr>
        <w:pStyle w:val="3"/>
        <w:spacing w:before="1" w:after="38"/>
      </w:pPr>
      <w:bookmarkStart w:id="1" w:name="Current System Limitations: "/>
      <w:bookmarkEnd w:id="1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3980"/>
        <w:gridCol w:w="3400"/>
        <w:gridCol w:w="2380"/>
      </w:tblGrid>
      <w:tr w14:paraId="531F60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  <w:jc w:val="center"/>
        </w:trPr>
        <w:tc>
          <w:tcPr>
            <w:tcW w:w="580" w:type="dxa"/>
            <w:vAlign w:val="center"/>
          </w:tcPr>
          <w:p w14:paraId="48139796">
            <w:pPr>
              <w:pStyle w:val="9"/>
              <w:spacing w:before="35" w:after="20"/>
              <w:rPr>
                <w:b/>
                <w:sz w:val="18"/>
              </w:rPr>
            </w:pPr>
          </w:p>
          <w:p w14:paraId="6D78E756">
            <w:pPr>
              <w:pStyle w:val="9"/>
              <w:spacing w:after="20"/>
              <w:ind w:left="112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4"/>
                <w:sz w:val="16"/>
              </w:rPr>
              <w:t>S.No</w:t>
            </w:r>
          </w:p>
        </w:tc>
        <w:tc>
          <w:tcPr>
            <w:tcW w:w="3980" w:type="dxa"/>
            <w:vAlign w:val="center"/>
          </w:tcPr>
          <w:p w14:paraId="1D5C76E8">
            <w:pPr>
              <w:pStyle w:val="9"/>
              <w:spacing w:before="35" w:after="20"/>
              <w:rPr>
                <w:b/>
                <w:sz w:val="18"/>
              </w:rPr>
            </w:pPr>
          </w:p>
          <w:p w14:paraId="21BC3857">
            <w:pPr>
              <w:pStyle w:val="9"/>
              <w:spacing w:after="20"/>
              <w:ind w:left="102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2"/>
                <w:sz w:val="16"/>
              </w:rPr>
              <w:t>Limitation</w:t>
            </w:r>
          </w:p>
        </w:tc>
        <w:tc>
          <w:tcPr>
            <w:tcW w:w="3400" w:type="dxa"/>
            <w:vAlign w:val="center"/>
          </w:tcPr>
          <w:p w14:paraId="653AB1C6">
            <w:pPr>
              <w:pStyle w:val="9"/>
              <w:spacing w:before="35" w:after="20"/>
              <w:rPr>
                <w:b/>
                <w:sz w:val="18"/>
              </w:rPr>
            </w:pPr>
          </w:p>
          <w:p w14:paraId="7C067423">
            <w:pPr>
              <w:pStyle w:val="9"/>
              <w:spacing w:after="20"/>
              <w:ind w:left="98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2"/>
                <w:sz w:val="16"/>
              </w:rPr>
              <w:t>Impact</w:t>
            </w:r>
          </w:p>
        </w:tc>
        <w:tc>
          <w:tcPr>
            <w:tcW w:w="2380" w:type="dxa"/>
            <w:vAlign w:val="center"/>
          </w:tcPr>
          <w:p w14:paraId="43405E94">
            <w:pPr>
              <w:pStyle w:val="9"/>
              <w:spacing w:before="122" w:after="20" w:line="278" w:lineRule="auto"/>
              <w:ind w:left="103" w:right="395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>Priority to Address (High</w:t>
            </w:r>
            <w:r>
              <w:rPr>
                <w:rFonts w:ascii="Calibri" w:hAnsi="Calibri"/>
                <w:b/>
                <w:spacing w:val="-10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/</w:t>
            </w:r>
            <w:r>
              <w:rPr>
                <w:rFonts w:ascii="Calibri" w:hAnsi="Calibri"/>
                <w:b/>
                <w:spacing w:val="-10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Medium</w:t>
            </w:r>
            <w:r>
              <w:rPr>
                <w:rFonts w:ascii="Calibri" w:hAnsi="Calibri"/>
                <w:b/>
                <w:spacing w:val="-10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/</w:t>
            </w:r>
            <w:r>
              <w:rPr>
                <w:rFonts w:ascii="Calibri" w:hAnsi="Calibri"/>
                <w:b/>
                <w:spacing w:val="-10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Low)</w:t>
            </w:r>
          </w:p>
        </w:tc>
      </w:tr>
      <w:tr w14:paraId="610F34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580" w:type="dxa"/>
            <w:vAlign w:val="center"/>
          </w:tcPr>
          <w:p w14:paraId="774BAE86">
            <w:pPr>
              <w:spacing w:after="2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3980" w:type="dxa"/>
            <w:vAlign w:val="center"/>
          </w:tcPr>
          <w:p w14:paraId="24B569DE">
            <w:pPr>
              <w:spacing w:after="20"/>
            </w:pPr>
            <w:r>
              <w:rPr>
                <w:rFonts w:ascii="Calibri" w:hAnsi="Calibri"/>
                <w:sz w:val="16"/>
              </w:rPr>
              <w:t>Dependence on the Gemini API for AI-generated legal content</w:t>
            </w:r>
          </w:p>
        </w:tc>
        <w:tc>
          <w:tcPr>
            <w:tcW w:w="3400" w:type="dxa"/>
            <w:vAlign w:val="center"/>
          </w:tcPr>
          <w:p w14:paraId="22253C15">
            <w:pPr>
              <w:spacing w:after="20"/>
            </w:pPr>
            <w:r>
              <w:rPr>
                <w:rFonts w:ascii="Calibri" w:hAnsi="Calibri"/>
                <w:sz w:val="16"/>
              </w:rPr>
              <w:t>Document generation depends on API availability, response time, and service limits.</w:t>
            </w:r>
          </w:p>
        </w:tc>
        <w:tc>
          <w:tcPr>
            <w:tcW w:w="2380" w:type="dxa"/>
            <w:vAlign w:val="center"/>
          </w:tcPr>
          <w:p w14:paraId="2D36CAEE">
            <w:pPr>
              <w:spacing w:after="20"/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14:paraId="12FE77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580" w:type="dxa"/>
            <w:vAlign w:val="center"/>
          </w:tcPr>
          <w:p w14:paraId="4B8EF821">
            <w:pPr>
              <w:spacing w:after="2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3980" w:type="dxa"/>
            <w:vAlign w:val="center"/>
          </w:tcPr>
          <w:p w14:paraId="44A25FAE">
            <w:pPr>
              <w:spacing w:after="20"/>
            </w:pPr>
            <w:r>
              <w:rPr>
                <w:rFonts w:ascii="Calibri" w:hAnsi="Calibri"/>
                <w:sz w:val="16"/>
              </w:rPr>
              <w:t>Current deployment is primarily local and uses FastAPI with Streamlit</w:t>
            </w:r>
          </w:p>
        </w:tc>
        <w:tc>
          <w:tcPr>
            <w:tcW w:w="3400" w:type="dxa"/>
            <w:vAlign w:val="center"/>
          </w:tcPr>
          <w:p w14:paraId="02225A5C">
            <w:pPr>
              <w:spacing w:after="20"/>
            </w:pPr>
            <w:r>
              <w:rPr>
                <w:rFonts w:ascii="Calibri" w:hAnsi="Calibri"/>
                <w:sz w:val="16"/>
              </w:rPr>
              <w:t>Handling a large number of concurrent users would require production deployment and scalable service infrastructure.</w:t>
            </w:r>
          </w:p>
        </w:tc>
        <w:tc>
          <w:tcPr>
            <w:tcW w:w="2380" w:type="dxa"/>
            <w:vAlign w:val="center"/>
          </w:tcPr>
          <w:p w14:paraId="3C53B986">
            <w:pPr>
              <w:spacing w:after="20"/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14:paraId="718088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  <w:jc w:val="center"/>
        </w:trPr>
        <w:tc>
          <w:tcPr>
            <w:tcW w:w="580" w:type="dxa"/>
            <w:vAlign w:val="center"/>
          </w:tcPr>
          <w:p w14:paraId="68AE6B7B">
            <w:pPr>
              <w:spacing w:after="20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w="3980" w:type="dxa"/>
            <w:vAlign w:val="center"/>
          </w:tcPr>
          <w:p w14:paraId="041071D2">
            <w:pPr>
              <w:spacing w:after="20"/>
            </w:pPr>
            <w:r>
              <w:rPr>
                <w:rFonts w:ascii="Calibri" w:hAnsi="Calibri"/>
                <w:sz w:val="16"/>
              </w:rPr>
              <w:t>No dedicated persistent data-storage layer is described in the current implementation</w:t>
            </w:r>
          </w:p>
        </w:tc>
        <w:tc>
          <w:tcPr>
            <w:tcW w:w="3400" w:type="dxa"/>
            <w:vAlign w:val="center"/>
          </w:tcPr>
          <w:p w14:paraId="43699610">
            <w:pPr>
              <w:spacing w:after="20"/>
            </w:pPr>
            <w:r>
              <w:rPr>
                <w:rFonts w:ascii="Calibri" w:hAnsi="Calibri"/>
                <w:sz w:val="16"/>
              </w:rPr>
              <w:t>Long-term storage, retrieval, versioning, and management of generated documents would need additional infrastructure.</w:t>
            </w:r>
          </w:p>
        </w:tc>
        <w:tc>
          <w:tcPr>
            <w:tcW w:w="2380" w:type="dxa"/>
            <w:vAlign w:val="center"/>
          </w:tcPr>
          <w:p w14:paraId="28B17A04">
            <w:pPr>
              <w:spacing w:after="20"/>
            </w:pPr>
            <w:r>
              <w:rPr>
                <w:rFonts w:ascii="Calibri" w:hAnsi="Calibri"/>
                <w:sz w:val="16"/>
              </w:rPr>
              <w:t>Medium</w:t>
            </w:r>
          </w:p>
        </w:tc>
      </w:tr>
    </w:tbl>
    <w:p w14:paraId="6607F5E0">
      <w:pPr>
        <w:pStyle w:val="6"/>
        <w:spacing w:before="231"/>
        <w:rPr>
          <w:rFonts w:ascii="Arial"/>
          <w:b/>
          <w:sz w:val="22"/>
        </w:rPr>
      </w:pPr>
    </w:p>
    <w:p w14:paraId="74979F90">
      <w:pPr>
        <w:pStyle w:val="3"/>
        <w:spacing w:after="45"/>
      </w:pPr>
      <w:bookmarkStart w:id="2" w:name="Scalability Plan: "/>
      <w:bookmarkEnd w:id="2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2260"/>
        <w:gridCol w:w="5220"/>
      </w:tblGrid>
      <w:tr w14:paraId="7F33CE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580" w:type="dxa"/>
            <w:vAlign w:val="center"/>
          </w:tcPr>
          <w:p w14:paraId="32A888EE">
            <w:pPr>
              <w:pStyle w:val="9"/>
              <w:spacing w:before="117" w:after="20"/>
              <w:ind w:left="112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4"/>
                <w:sz w:val="16"/>
              </w:rPr>
              <w:t>S.No</w:t>
            </w:r>
          </w:p>
        </w:tc>
        <w:tc>
          <w:tcPr>
            <w:tcW w:w="2260" w:type="dxa"/>
            <w:vAlign w:val="center"/>
          </w:tcPr>
          <w:p w14:paraId="779C6500">
            <w:pPr>
              <w:pStyle w:val="9"/>
              <w:spacing w:before="117" w:after="20"/>
              <w:ind w:left="102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 xml:space="preserve">Scalability </w:t>
            </w:r>
            <w:r>
              <w:rPr>
                <w:rFonts w:ascii="Calibri" w:hAnsi="Calibri"/>
                <w:b/>
                <w:spacing w:val="-2"/>
                <w:sz w:val="16"/>
              </w:rPr>
              <w:t>Aspect</w:t>
            </w:r>
          </w:p>
        </w:tc>
        <w:tc>
          <w:tcPr>
            <w:tcW w:w="2260" w:type="dxa"/>
            <w:vAlign w:val="center"/>
          </w:tcPr>
          <w:p w14:paraId="5995A045">
            <w:pPr>
              <w:pStyle w:val="9"/>
              <w:spacing w:before="117" w:after="20"/>
              <w:ind w:left="107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 xml:space="preserve">Current </w:t>
            </w:r>
            <w:r>
              <w:rPr>
                <w:rFonts w:ascii="Calibri" w:hAnsi="Calibri"/>
                <w:b/>
                <w:spacing w:val="-2"/>
                <w:sz w:val="16"/>
              </w:rPr>
              <w:t>State</w:t>
            </w:r>
          </w:p>
        </w:tc>
        <w:tc>
          <w:tcPr>
            <w:tcW w:w="5220" w:type="dxa"/>
            <w:vAlign w:val="center"/>
          </w:tcPr>
          <w:p w14:paraId="2F34CF20">
            <w:pPr>
              <w:pStyle w:val="9"/>
              <w:spacing w:before="117" w:after="20"/>
              <w:ind w:left="113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 xml:space="preserve">Proposed Upgrade / </w:t>
            </w:r>
            <w:r>
              <w:rPr>
                <w:rFonts w:ascii="Calibri" w:hAnsi="Calibri"/>
                <w:b/>
                <w:spacing w:val="-2"/>
                <w:sz w:val="16"/>
              </w:rPr>
              <w:t>Solution</w:t>
            </w:r>
          </w:p>
        </w:tc>
      </w:tr>
      <w:tr w14:paraId="62EC54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580" w:type="dxa"/>
            <w:vAlign w:val="center"/>
          </w:tcPr>
          <w:p w14:paraId="5CCA636E">
            <w:pPr>
              <w:spacing w:after="2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2260" w:type="dxa"/>
            <w:vAlign w:val="center"/>
          </w:tcPr>
          <w:p w14:paraId="47A6F432">
            <w:pPr>
              <w:spacing w:after="20"/>
            </w:pPr>
            <w:r>
              <w:rPr>
                <w:rFonts w:ascii="Calibri" w:hAnsi="Calibri"/>
                <w:sz w:val="16"/>
              </w:rPr>
              <w:t>User Load</w:t>
            </w:r>
          </w:p>
        </w:tc>
        <w:tc>
          <w:tcPr>
            <w:tcW w:w="2260" w:type="dxa"/>
            <w:vAlign w:val="center"/>
          </w:tcPr>
          <w:p w14:paraId="05065A7F">
            <w:pPr>
              <w:spacing w:after="20"/>
            </w:pPr>
            <w:r>
              <w:rPr>
                <w:rFonts w:ascii="Calibri" w:hAnsi="Calibri"/>
                <w:sz w:val="16"/>
              </w:rPr>
              <w:t>FastAPI backend and Streamlit frontend are designed and tested for local use.</w:t>
            </w:r>
          </w:p>
        </w:tc>
        <w:tc>
          <w:tcPr>
            <w:tcW w:w="5220" w:type="dxa"/>
            <w:vAlign w:val="center"/>
          </w:tcPr>
          <w:p w14:paraId="5942BE1C">
            <w:pPr>
              <w:spacing w:after="20"/>
            </w:pPr>
            <w:r>
              <w:rPr>
                <w:rFonts w:ascii="Calibri" w:hAnsi="Calibri"/>
                <w:sz w:val="16"/>
              </w:rPr>
              <w:t>Deploy the backend and frontend on scalable cloud infrastructure; add multiple application instances and load balancing as user traffic grows.</w:t>
            </w:r>
          </w:p>
        </w:tc>
      </w:tr>
      <w:tr w14:paraId="475F13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580" w:type="dxa"/>
            <w:vAlign w:val="center"/>
          </w:tcPr>
          <w:p w14:paraId="131C8715">
            <w:pPr>
              <w:spacing w:after="2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2260" w:type="dxa"/>
            <w:vAlign w:val="center"/>
          </w:tcPr>
          <w:p w14:paraId="7735845E">
            <w:pPr>
              <w:spacing w:after="20"/>
            </w:pPr>
            <w:r>
              <w:rPr>
                <w:rFonts w:ascii="Calibri" w:hAnsi="Calibri"/>
                <w:sz w:val="16"/>
              </w:rPr>
              <w:t>Data Storage</w:t>
            </w:r>
          </w:p>
        </w:tc>
        <w:tc>
          <w:tcPr>
            <w:tcW w:w="2260" w:type="dxa"/>
            <w:vAlign w:val="center"/>
          </w:tcPr>
          <w:p w14:paraId="3766FED6">
            <w:pPr>
              <w:spacing w:after="20"/>
            </w:pPr>
            <w:r>
              <w:rPr>
                <w:rFonts w:ascii="Calibri" w:hAnsi="Calibri"/>
                <w:sz w:val="16"/>
              </w:rPr>
              <w:t>Generated documents are provided as downloadable TXT, DOCX, and PDF files; the project description does not specify a persistent database.</w:t>
            </w:r>
          </w:p>
        </w:tc>
        <w:tc>
          <w:tcPr>
            <w:tcW w:w="5220" w:type="dxa"/>
            <w:vAlign w:val="center"/>
          </w:tcPr>
          <w:p w14:paraId="6394D980">
            <w:pPr>
              <w:spacing w:after="20"/>
            </w:pPr>
            <w:r>
              <w:rPr>
                <w:rFonts w:ascii="Calibri" w:hAnsi="Calibri"/>
                <w:sz w:val="16"/>
              </w:rPr>
              <w:t>Introduce secure persistent storage for document metadata and user files, with organized retrieval, versioning, backups, and lifecycle management.</w:t>
            </w:r>
          </w:p>
        </w:tc>
      </w:tr>
      <w:tr w14:paraId="280D83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  <w:jc w:val="center"/>
        </w:trPr>
        <w:tc>
          <w:tcPr>
            <w:tcW w:w="580" w:type="dxa"/>
            <w:vAlign w:val="center"/>
          </w:tcPr>
          <w:p w14:paraId="3F45DD55">
            <w:pPr>
              <w:spacing w:after="20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w="2260" w:type="dxa"/>
            <w:vAlign w:val="center"/>
          </w:tcPr>
          <w:p w14:paraId="4EFD855D">
            <w:pPr>
              <w:spacing w:after="20"/>
            </w:pPr>
            <w:r>
              <w:rPr>
                <w:rFonts w:ascii="Calibri" w:hAnsi="Calibri"/>
                <w:sz w:val="16"/>
              </w:rPr>
              <w:t>Performance</w:t>
            </w:r>
          </w:p>
        </w:tc>
        <w:tc>
          <w:tcPr>
            <w:tcW w:w="2260" w:type="dxa"/>
            <w:vAlign w:val="center"/>
          </w:tcPr>
          <w:p w14:paraId="7AEC451E">
            <w:pPr>
              <w:spacing w:after="20"/>
            </w:pPr>
            <w:r>
              <w:rPr>
                <w:rFonts w:ascii="Calibri" w:hAnsi="Calibri"/>
                <w:sz w:val="16"/>
              </w:rPr>
              <w:t>The system sends document-generation requests to Gemini and dynamically renders previews and exports.</w:t>
            </w:r>
          </w:p>
        </w:tc>
        <w:tc>
          <w:tcPr>
            <w:tcW w:w="5220" w:type="dxa"/>
            <w:vAlign w:val="center"/>
          </w:tcPr>
          <w:p w14:paraId="78BDB34A">
            <w:pPr>
              <w:spacing w:after="20"/>
            </w:pPr>
            <w:r>
              <w:rPr>
                <w:rFonts w:ascii="Calibri" w:hAnsi="Calibri"/>
                <w:sz w:val="16"/>
              </w:rPr>
              <w:t>Use asynchronous/background processing where appropriate, request queuing, caching of reusable operations, optimized document generation, and monitoring to maintain responsiveness under higher load.</w:t>
            </w:r>
          </w:p>
        </w:tc>
      </w:tr>
      <w:tr w14:paraId="3AAA6B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580" w:type="dxa"/>
            <w:vAlign w:val="center"/>
          </w:tcPr>
          <w:p w14:paraId="6DD70D91">
            <w:pPr>
              <w:spacing w:after="20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w="2260" w:type="dxa"/>
            <w:vAlign w:val="center"/>
          </w:tcPr>
          <w:p w14:paraId="363B4DB1">
            <w:pPr>
              <w:spacing w:after="20"/>
            </w:pPr>
            <w:r>
              <w:rPr>
                <w:rFonts w:ascii="Calibri" w:hAnsi="Calibri"/>
                <w:sz w:val="16"/>
              </w:rPr>
              <w:t>Security</w:t>
            </w:r>
          </w:p>
        </w:tc>
        <w:tc>
          <w:tcPr>
            <w:tcW w:w="2260" w:type="dxa"/>
            <w:vAlign w:val="center"/>
          </w:tcPr>
          <w:p w14:paraId="4E03057E">
            <w:pPr>
              <w:spacing w:after="20"/>
            </w:pPr>
            <w:r>
              <w:rPr>
                <w:rFonts w:ascii="Calibri" w:hAnsi="Calibri"/>
                <w:sz w:val="16"/>
              </w:rPr>
              <w:t>The Gemini API key is stored through environment variables, and the project emphasizes secure handling of sensitive user data.</w:t>
            </w:r>
          </w:p>
        </w:tc>
        <w:tc>
          <w:tcPr>
            <w:tcW w:w="5220" w:type="dxa"/>
            <w:vAlign w:val="center"/>
          </w:tcPr>
          <w:p w14:paraId="1F704F8E">
            <w:pPr>
              <w:spacing w:after="20"/>
            </w:pPr>
            <w:r>
              <w:rPr>
                <w:rFonts w:ascii="Calibri" w:hAnsi="Calibri"/>
                <w:sz w:val="16"/>
              </w:rPr>
              <w:t>Strengthen production security with authentication and authorization, encrypted data in transit and at rest, secret management, input validation, access controls, audit logging, and secure document retention policies.</w:t>
            </w:r>
          </w:p>
        </w:tc>
      </w:tr>
    </w:tbl>
    <w:p w14:paraId="6ED04E5D">
      <w:pPr>
        <w:pStyle w:val="6"/>
        <w:spacing w:before="236"/>
        <w:rPr>
          <w:rFonts w:ascii="Arial"/>
          <w:b/>
          <w:sz w:val="22"/>
        </w:rPr>
      </w:pPr>
    </w:p>
    <w:p w14:paraId="3D0B43DB">
      <w:pPr>
        <w:pStyle w:val="3"/>
        <w:spacing w:after="40"/>
      </w:pPr>
      <w:bookmarkStart w:id="3" w:name="Future Roadmap: "/>
      <w:bookmarkEnd w:id="3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3400"/>
        <w:gridCol w:w="1980"/>
        <w:gridCol w:w="3520"/>
      </w:tblGrid>
      <w:tr w14:paraId="3BDAF0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1420" w:type="dxa"/>
            <w:vAlign w:val="center"/>
          </w:tcPr>
          <w:p w14:paraId="63BBF5E2">
            <w:pPr>
              <w:pStyle w:val="9"/>
              <w:spacing w:before="122" w:after="20"/>
              <w:ind w:left="112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2"/>
                <w:sz w:val="16"/>
              </w:rPr>
              <w:t>Phase</w:t>
            </w:r>
          </w:p>
        </w:tc>
        <w:tc>
          <w:tcPr>
            <w:tcW w:w="3400" w:type="dxa"/>
            <w:vAlign w:val="center"/>
          </w:tcPr>
          <w:p w14:paraId="34F07937">
            <w:pPr>
              <w:pStyle w:val="9"/>
              <w:spacing w:before="122" w:after="20"/>
              <w:ind w:left="117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 xml:space="preserve">Planned Feature / </w:t>
            </w:r>
            <w:r>
              <w:rPr>
                <w:rFonts w:ascii="Calibri" w:hAnsi="Calibri"/>
                <w:b/>
                <w:spacing w:val="-2"/>
                <w:sz w:val="16"/>
              </w:rPr>
              <w:t>Enhancement</w:t>
            </w:r>
          </w:p>
        </w:tc>
        <w:tc>
          <w:tcPr>
            <w:tcW w:w="1980" w:type="dxa"/>
            <w:vAlign w:val="center"/>
          </w:tcPr>
          <w:p w14:paraId="10D91EC8">
            <w:pPr>
              <w:pStyle w:val="9"/>
              <w:spacing w:before="122" w:after="20"/>
              <w:ind w:left="123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2"/>
                <w:sz w:val="16"/>
              </w:rPr>
              <w:t>Target</w:t>
            </w:r>
            <w:r>
              <w:rPr>
                <w:rFonts w:ascii="Calibri" w:hAnsi="Calibri"/>
                <w:b/>
                <w:spacing w:val="-4"/>
                <w:sz w:val="16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6"/>
              </w:rPr>
              <w:t>Timeline</w:t>
            </w:r>
          </w:p>
        </w:tc>
        <w:tc>
          <w:tcPr>
            <w:tcW w:w="3520" w:type="dxa"/>
            <w:vAlign w:val="center"/>
          </w:tcPr>
          <w:p w14:paraId="227F9CBF">
            <w:pPr>
              <w:pStyle w:val="9"/>
              <w:spacing w:before="122" w:after="20"/>
              <w:ind w:left="123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 xml:space="preserve">Expected </w:t>
            </w:r>
            <w:r>
              <w:rPr>
                <w:rFonts w:ascii="Calibri" w:hAnsi="Calibri"/>
                <w:b/>
                <w:spacing w:val="-2"/>
                <w:sz w:val="16"/>
              </w:rPr>
              <w:t>Impact</w:t>
            </w:r>
          </w:p>
        </w:tc>
      </w:tr>
    </w:tbl>
    <w:p w14:paraId="06E89651">
      <w:pPr>
        <w:pStyle w:val="9"/>
        <w:spacing w:after="0"/>
        <w:rPr>
          <w:b/>
          <w:sz w:val="18"/>
        </w:rPr>
        <w:sectPr>
          <w:type w:val="continuous"/>
          <w:pgSz w:w="11920" w:h="16840"/>
          <w:pgMar w:top="648" w:right="648" w:bottom="648" w:left="648" w:header="720" w:footer="720" w:gutter="0"/>
          <w:cols w:space="720" w:num="1"/>
        </w:sectPr>
      </w:pP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3400"/>
        <w:gridCol w:w="1980"/>
        <w:gridCol w:w="3520"/>
      </w:tblGrid>
      <w:tr w14:paraId="487F00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420" w:type="dxa"/>
            <w:vAlign w:val="center"/>
          </w:tcPr>
          <w:p w14:paraId="14E619B3"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Phase 2</w:t>
            </w:r>
          </w:p>
        </w:tc>
        <w:tc>
          <w:tcPr>
            <w:tcW w:w="3400" w:type="dxa"/>
            <w:vAlign w:val="center"/>
          </w:tcPr>
          <w:p w14:paraId="69299152"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Cloud deployment and scalable backend infrastructure; introduce persistent document storage and user authentication.</w:t>
            </w:r>
          </w:p>
        </w:tc>
        <w:tc>
          <w:tcPr>
            <w:tcW w:w="1980" w:type="dxa"/>
            <w:vAlign w:val="center"/>
          </w:tcPr>
          <w:p w14:paraId="511B2444"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Oct–Nov 2026</w:t>
            </w:r>
          </w:p>
        </w:tc>
        <w:tc>
          <w:tcPr>
            <w:tcW w:w="3520" w:type="dxa"/>
            <w:vAlign w:val="center"/>
          </w:tcPr>
          <w:p w14:paraId="24505AAF"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Supports more concurrent users, reliable access, and organized document management.</w:t>
            </w:r>
          </w:p>
        </w:tc>
      </w:tr>
      <w:tr w14:paraId="2AA00A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1420" w:type="dxa"/>
            <w:vAlign w:val="center"/>
          </w:tcPr>
          <w:p w14:paraId="752FC0C4">
            <w:pPr>
              <w:spacing w:after="20"/>
            </w:pPr>
            <w:r>
              <w:rPr>
                <w:rFonts w:ascii="Calibri" w:hAnsi="Calibri"/>
                <w:sz w:val="16"/>
              </w:rPr>
              <w:t>Phase 3</w:t>
            </w:r>
          </w:p>
        </w:tc>
        <w:tc>
          <w:tcPr>
            <w:tcW w:w="3400" w:type="dxa"/>
            <w:vAlign w:val="center"/>
          </w:tcPr>
          <w:p w14:paraId="0DCDDA1A">
            <w:pPr>
              <w:spacing w:after="20"/>
            </w:pPr>
            <w:r>
              <w:rPr>
                <w:rFonts w:ascii="Calibri" w:hAnsi="Calibri"/>
                <w:sz w:val="16"/>
              </w:rPr>
              <w:t>Advanced legal-document analysis, clause highlighting, plain-language summaries, multilingual support, and improved document validation.</w:t>
            </w:r>
          </w:p>
        </w:tc>
        <w:tc>
          <w:tcPr>
            <w:tcW w:w="1980" w:type="dxa"/>
            <w:vAlign w:val="center"/>
          </w:tcPr>
          <w:p w14:paraId="420FC364">
            <w:pPr>
              <w:spacing w:after="20"/>
            </w:pPr>
            <w:r>
              <w:rPr>
                <w:rFonts w:ascii="Calibri" w:hAnsi="Calibri"/>
                <w:sz w:val="16"/>
              </w:rPr>
              <w:t>Dec 2026–Jan 2027</w:t>
            </w:r>
          </w:p>
        </w:tc>
        <w:tc>
          <w:tcPr>
            <w:tcW w:w="3520" w:type="dxa"/>
            <w:vAlign w:val="center"/>
          </w:tcPr>
          <w:p w14:paraId="50ACB22B">
            <w:pPr>
              <w:spacing w:after="20"/>
            </w:pPr>
            <w:r>
              <w:rPr>
                <w:rFonts w:ascii="Calibri" w:hAnsi="Calibri"/>
                <w:sz w:val="16"/>
              </w:rPr>
              <w:t>Improves document understanding, accessibility, and usefulness for a wider range of users.</w:t>
            </w:r>
          </w:p>
        </w:tc>
      </w:tr>
      <w:tr w14:paraId="76C111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  <w:jc w:val="center"/>
        </w:trPr>
        <w:tc>
          <w:tcPr>
            <w:tcW w:w="1420" w:type="dxa"/>
            <w:vAlign w:val="center"/>
          </w:tcPr>
          <w:p w14:paraId="61618ED5">
            <w:pPr>
              <w:spacing w:after="20"/>
            </w:pPr>
            <w:r>
              <w:rPr>
                <w:rFonts w:ascii="Calibri" w:hAnsi="Calibri"/>
                <w:sz w:val="16"/>
              </w:rPr>
              <w:t>Phase 4</w:t>
            </w:r>
          </w:p>
        </w:tc>
        <w:tc>
          <w:tcPr>
            <w:tcW w:w="3400" w:type="dxa"/>
            <w:vAlign w:val="center"/>
          </w:tcPr>
          <w:p w14:paraId="20255C3F">
            <w:pPr>
              <w:spacing w:after="20"/>
            </w:pPr>
            <w:r>
              <w:rPr>
                <w:rFonts w:ascii="Calibri" w:hAnsi="Calibri"/>
                <w:sz w:val="16"/>
              </w:rPr>
              <w:t>Integration with legal databases and deeper contract analysis, with personalized recommendations and stronger monitoring/security controls.</w:t>
            </w:r>
          </w:p>
        </w:tc>
        <w:tc>
          <w:tcPr>
            <w:tcW w:w="1980" w:type="dxa"/>
            <w:vAlign w:val="center"/>
          </w:tcPr>
          <w:p w14:paraId="78C57ED6">
            <w:pPr>
              <w:spacing w:after="20"/>
            </w:pPr>
            <w:r>
              <w:rPr>
                <w:rFonts w:ascii="Calibri" w:hAnsi="Calibri"/>
                <w:sz w:val="16"/>
              </w:rPr>
              <w:t>Feb–Mar 2027</w:t>
            </w:r>
          </w:p>
        </w:tc>
        <w:tc>
          <w:tcPr>
            <w:tcW w:w="3520" w:type="dxa"/>
            <w:vAlign w:val="center"/>
          </w:tcPr>
          <w:p w14:paraId="2DA02C64">
            <w:pPr>
              <w:spacing w:after="20"/>
            </w:pPr>
            <w:r>
              <w:rPr>
                <w:rFonts w:ascii="Calibri" w:hAnsi="Calibri"/>
                <w:sz w:val="16"/>
              </w:rPr>
              <w:t>Extends LegalEase from document generation toward a broader AI-assisted legal information platform.</w:t>
            </w:r>
          </w:p>
        </w:tc>
      </w:tr>
    </w:tbl>
    <w:p w14:paraId="6D35195C">
      <w:pPr>
        <w:spacing w:before="80"/>
      </w:pPr>
      <w:r>
        <w:rPr>
          <w:i/>
          <w:sz w:val="16"/>
        </w:rPr>
        <w:t>Prepared from the LegalEase AI project document and the supplied Scalability &amp; Future Plan template.</w:t>
      </w:r>
    </w:p>
    <w:sectPr>
      <w:type w:val="continuous"/>
      <w:pgSz w:w="11920" w:h="16840"/>
      <w:pgMar w:top="648" w:right="648" w:bottom="648" w:left="64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62E47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Arial MT" w:cs="Arial MT"/>
      <w:sz w:val="20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451</Words>
  <Characters>2914</Characters>
  <TotalTime>1</TotalTime>
  <ScaleCrop>false</ScaleCrop>
  <LinksUpToDate>false</LinksUpToDate>
  <CharactersWithSpaces>3293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2026-09-28T16:12:00Z</dcterms:created>
  <dc:creator>py</dc:creator>
  <cp:lastModifiedBy>py</cp:lastModifiedBy>
  <dcterms:modified xsi:type="dcterms:W3CDTF">2026-10-01T03:54:09Z</dcterms:modified>
  <dc:title>Scalability &amp; Future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  <property fmtid="{D5CDD505-2E9C-101B-9397-08002B2CF9AE}" pid="6" name="KSOTemplateDocerSaveRecord">
    <vt:lpwstr>eyJoZGlkIjoiMDVlNTAwMTI3NGFiMjFmMDQ3MjEwMjg1M2E4NTAyNDAifQ==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C0049125F4F5450E91B719811EE9637F_13</vt:lpwstr>
  </property>
</Properties>
</file>