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77E11">
      <w:pPr>
        <w:tabs>
          <w:tab w:val="left" w:pos="8475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4397">
      <w:pPr>
        <w:pStyle w:val="2"/>
      </w:pPr>
      <w:bookmarkStart w:id="0" w:name="Communication "/>
      <w:bookmarkEnd w:id="0"/>
      <w:r>
        <w:rPr>
          <w:spacing w:val="-2"/>
        </w:rPr>
        <w:t>Communication</w:t>
      </w:r>
    </w:p>
    <w:p w14:paraId="40F507CB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329440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2820" w:type="dxa"/>
            <w:vAlign w:val="center"/>
          </w:tcPr>
          <w:p w14:paraId="02975328">
            <w:pPr>
              <w:pStyle w:val="9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vAlign w:val="center"/>
          </w:tcPr>
          <w:p w14:paraId="28AF98C6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30 September 2026</w:t>
            </w:r>
          </w:p>
        </w:tc>
      </w:tr>
      <w:tr w14:paraId="63C003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vAlign w:val="center"/>
          </w:tcPr>
          <w:p w14:paraId="60ED53D9">
            <w:pPr>
              <w:pStyle w:val="9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vAlign w:val="center"/>
          </w:tcPr>
          <w:p w14:paraId="28521809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b w:val="0"/>
                <w:sz w:val="17"/>
              </w:rPr>
              <w:t>SWTID-2026-</w:t>
            </w:r>
            <w:r>
              <w:rPr>
                <w:rFonts w:hint="default" w:ascii="Times New Roman" w:hAnsi="Times New Roman"/>
                <w:b w:val="0"/>
                <w:sz w:val="17"/>
                <w:lang w:val="en-US"/>
              </w:rPr>
              <w:t>8485</w:t>
            </w:r>
            <w:bookmarkStart w:id="3" w:name="_GoBack"/>
            <w:bookmarkEnd w:id="3"/>
          </w:p>
        </w:tc>
      </w:tr>
      <w:tr w14:paraId="64A6E4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  <w:jc w:val="center"/>
        </w:trPr>
        <w:tc>
          <w:tcPr>
            <w:tcW w:w="2820" w:type="dxa"/>
            <w:vAlign w:val="center"/>
          </w:tcPr>
          <w:p w14:paraId="79F62B25">
            <w:pPr>
              <w:pStyle w:val="9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vAlign w:val="center"/>
          </w:tcPr>
          <w:p w14:paraId="2D47A99E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LegalEase AI</w:t>
            </w:r>
          </w:p>
        </w:tc>
      </w:tr>
      <w:tr w14:paraId="201041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vAlign w:val="center"/>
          </w:tcPr>
          <w:p w14:paraId="62BE4F23">
            <w:pPr>
              <w:pStyle w:val="9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vAlign w:val="center"/>
          </w:tcPr>
          <w:p w14:paraId="661D892D">
            <w:pPr>
              <w:pStyle w:val="9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EC03384">
      <w:pPr>
        <w:pStyle w:val="6"/>
        <w:spacing w:before="210"/>
        <w:rPr>
          <w:rFonts w:ascii="Arial"/>
          <w:b/>
          <w:sz w:val="28"/>
        </w:rPr>
      </w:pPr>
    </w:p>
    <w:p w14:paraId="585904DD">
      <w:pPr>
        <w:pStyle w:val="3"/>
      </w:pPr>
      <w:bookmarkStart w:id="1" w:name="Communication Plan: 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733FAC0E">
      <w:pPr>
        <w:pStyle w:val="6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4848CAAC">
      <w:pPr>
        <w:pStyle w:val="6"/>
        <w:spacing w:before="19"/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1400"/>
        <w:gridCol w:w="1700"/>
        <w:gridCol w:w="1700"/>
        <w:gridCol w:w="2940"/>
      </w:tblGrid>
      <w:tr w14:paraId="4701C3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599" w:hRule="atLeast"/>
          <w:jc w:val="center"/>
        </w:trPr>
        <w:tc>
          <w:tcPr>
            <w:tcW w:w="580" w:type="dxa"/>
            <w:vAlign w:val="center"/>
          </w:tcPr>
          <w:p w14:paraId="4687CD93">
            <w:pPr>
              <w:pStyle w:val="9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  <w:vAlign w:val="center"/>
          </w:tcPr>
          <w:p w14:paraId="6735C04D">
            <w:pPr>
              <w:pStyle w:val="9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  <w:vAlign w:val="center"/>
          </w:tcPr>
          <w:p w14:paraId="65B9B9B4">
            <w:pPr>
              <w:pStyle w:val="9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  <w:vAlign w:val="center"/>
          </w:tcPr>
          <w:p w14:paraId="64BB4E61">
            <w:pPr>
              <w:pStyle w:val="9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  <w:vAlign w:val="center"/>
          </w:tcPr>
          <w:p w14:paraId="0ECAC062">
            <w:pPr>
              <w:pStyle w:val="9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  <w:vAlign w:val="center"/>
          </w:tcPr>
          <w:p w14:paraId="2B2EEFCF">
            <w:pPr>
              <w:pStyle w:val="9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14:paraId="1E36C9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580" w:type="dxa"/>
            <w:vAlign w:val="center"/>
          </w:tcPr>
          <w:p w14:paraId="634A95DF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w="1980" w:type="dxa"/>
            <w:vAlign w:val="center"/>
          </w:tcPr>
          <w:p w14:paraId="649EC946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Team Standup</w:t>
            </w:r>
          </w:p>
        </w:tc>
        <w:tc>
          <w:tcPr>
            <w:tcW w:w="1400" w:type="dxa"/>
            <w:vAlign w:val="center"/>
          </w:tcPr>
          <w:p w14:paraId="227DC5F5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5A6CE757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3C23387E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 w14:paraId="1CD040C2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 w14:paraId="06D083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10CB9E0D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w="1980" w:type="dxa"/>
            <w:vAlign w:val="center"/>
          </w:tcPr>
          <w:p w14:paraId="15E26B2C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Progress Update</w:t>
            </w:r>
          </w:p>
        </w:tc>
        <w:tc>
          <w:tcPr>
            <w:tcW w:w="1400" w:type="dxa"/>
            <w:vAlign w:val="center"/>
          </w:tcPr>
          <w:p w14:paraId="72606135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621E9D08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38204C8F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 w14:paraId="5FC93F54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 w14:paraId="2BA84A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580" w:type="dxa"/>
            <w:vAlign w:val="center"/>
          </w:tcPr>
          <w:p w14:paraId="4A8C7E0C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w="1980" w:type="dxa"/>
            <w:vAlign w:val="center"/>
          </w:tcPr>
          <w:p w14:paraId="0425F443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Issue / Bug Discussion</w:t>
            </w:r>
          </w:p>
        </w:tc>
        <w:tc>
          <w:tcPr>
            <w:tcW w:w="1400" w:type="dxa"/>
            <w:vAlign w:val="center"/>
          </w:tcPr>
          <w:p w14:paraId="70717533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As Needed</w:t>
            </w:r>
          </w:p>
        </w:tc>
        <w:tc>
          <w:tcPr>
            <w:tcW w:w="1700" w:type="dxa"/>
            <w:vAlign w:val="center"/>
          </w:tcPr>
          <w:p w14:paraId="139C7118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400697E7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 w14:paraId="56FC0DF4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Address implementation/testing issues as they arise; exact communication channel not documented</w:t>
            </w:r>
          </w:p>
        </w:tc>
      </w:tr>
      <w:tr w14:paraId="60B952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712BCCFA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w="1980" w:type="dxa"/>
            <w:vAlign w:val="center"/>
          </w:tcPr>
          <w:p w14:paraId="4750AFC8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Stakeholder Review</w:t>
            </w:r>
          </w:p>
        </w:tc>
        <w:tc>
          <w:tcPr>
            <w:tcW w:w="1400" w:type="dxa"/>
            <w:vAlign w:val="center"/>
          </w:tcPr>
          <w:p w14:paraId="11BBC00A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6234E3BA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73D2C7FA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Team / stakeholders</w:t>
            </w:r>
          </w:p>
        </w:tc>
        <w:tc>
          <w:tcPr>
            <w:tcW w:w="2940" w:type="dxa"/>
            <w:vAlign w:val="center"/>
          </w:tcPr>
          <w:p w14:paraId="4E863D60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 w14:paraId="6A07C7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580" w:type="dxa"/>
            <w:vAlign w:val="center"/>
          </w:tcPr>
          <w:p w14:paraId="7D0A179E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w="1980" w:type="dxa"/>
            <w:vAlign w:val="center"/>
          </w:tcPr>
          <w:p w14:paraId="3CB55516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Final Demo Rehearsal</w:t>
            </w:r>
          </w:p>
        </w:tc>
        <w:tc>
          <w:tcPr>
            <w:tcW w:w="1400" w:type="dxa"/>
            <w:vAlign w:val="center"/>
          </w:tcPr>
          <w:p w14:paraId="3A93BBF5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06F5F112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 w14:paraId="52D881D8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 w14:paraId="3E7A02BE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 w14:paraId="3DCC38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580" w:type="dxa"/>
            <w:vAlign w:val="center"/>
          </w:tcPr>
          <w:p w14:paraId="6FD7C641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  <w:vAlign w:val="center"/>
          </w:tcPr>
          <w:p w14:paraId="7A5E435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vAlign w:val="center"/>
          </w:tcPr>
          <w:p w14:paraId="4422F20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vAlign w:val="center"/>
          </w:tcPr>
          <w:p w14:paraId="2569C7D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vAlign w:val="center"/>
          </w:tcPr>
          <w:p w14:paraId="507E31A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vAlign w:val="center"/>
          </w:tcPr>
          <w:p w14:paraId="2DF7C951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5AE1AA81">
      <w:pPr>
        <w:pStyle w:val="6"/>
      </w:pPr>
    </w:p>
    <w:p w14:paraId="200A9114">
      <w:pPr>
        <w:pStyle w:val="6"/>
        <w:spacing w:before="77"/>
      </w:pPr>
    </w:p>
    <w:p w14:paraId="49443AD8">
      <w:pPr>
        <w:pStyle w:val="3"/>
        <w:spacing w:after="34"/>
      </w:pPr>
      <w:bookmarkStart w:id="2" w:name="Communication Challenges &amp; Resolutions: 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4520"/>
        <w:gridCol w:w="5220"/>
      </w:tblGrid>
      <w:tr w14:paraId="17A4B8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  <w:jc w:val="center"/>
        </w:trPr>
        <w:tc>
          <w:tcPr>
            <w:tcW w:w="580" w:type="dxa"/>
            <w:vAlign w:val="center"/>
          </w:tcPr>
          <w:p w14:paraId="726B7112">
            <w:pPr>
              <w:pStyle w:val="9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  <w:vAlign w:val="center"/>
          </w:tcPr>
          <w:p w14:paraId="4896B6E1">
            <w:pPr>
              <w:pStyle w:val="9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  <w:vAlign w:val="center"/>
          </w:tcPr>
          <w:p w14:paraId="79B1439C">
            <w:pPr>
              <w:pStyle w:val="9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14:paraId="0B063E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580" w:type="dxa"/>
            <w:vAlign w:val="center"/>
          </w:tcPr>
          <w:p w14:paraId="7DB528D0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w="4520" w:type="dxa"/>
            <w:vAlign w:val="center"/>
          </w:tcPr>
          <w:p w14:paraId="3271BE23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 specific communication challenge is documented in the supplied LegalEase project documentation.</w:t>
            </w:r>
          </w:p>
        </w:tc>
        <w:tc>
          <w:tcPr>
            <w:tcW w:w="5220" w:type="dxa"/>
            <w:vAlign w:val="center"/>
          </w:tcPr>
          <w:p w14:paraId="332BFCA5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 project-specific resolution is documented; retain the team's actual resolution if available.</w:t>
            </w:r>
          </w:p>
        </w:tc>
      </w:tr>
      <w:tr w14:paraId="274474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  <w:jc w:val="center"/>
        </w:trPr>
        <w:tc>
          <w:tcPr>
            <w:tcW w:w="580" w:type="dxa"/>
            <w:vAlign w:val="center"/>
          </w:tcPr>
          <w:p w14:paraId="7A62136B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w="4520" w:type="dxa"/>
            <w:vAlign w:val="center"/>
          </w:tcPr>
          <w:p w14:paraId="0344BA13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 stakeholder communication issue is documented.</w:t>
            </w:r>
          </w:p>
        </w:tc>
        <w:tc>
          <w:tcPr>
            <w:tcW w:w="5220" w:type="dxa"/>
            <w:vAlign w:val="center"/>
          </w:tcPr>
          <w:p w14:paraId="0E49BA67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 project-specific resolution is documented.</w:t>
            </w:r>
          </w:p>
        </w:tc>
      </w:tr>
      <w:tr w14:paraId="43BF23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  <w:jc w:val="center"/>
        </w:trPr>
        <w:tc>
          <w:tcPr>
            <w:tcW w:w="580" w:type="dxa"/>
            <w:vAlign w:val="center"/>
          </w:tcPr>
          <w:p w14:paraId="7C23DD8C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w="4520" w:type="dxa"/>
            <w:vAlign w:val="center"/>
          </w:tcPr>
          <w:p w14:paraId="46C1E4F8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 communication-channel issue is documented.</w:t>
            </w:r>
          </w:p>
        </w:tc>
        <w:tc>
          <w:tcPr>
            <w:tcW w:w="5220" w:type="dxa"/>
            <w:vAlign w:val="center"/>
          </w:tcPr>
          <w:p w14:paraId="3B25A9CB"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No project-specific resolution is documented.</w:t>
            </w:r>
          </w:p>
        </w:tc>
      </w:tr>
    </w:tbl>
    <w:p w14:paraId="19B7EF3E">
      <w:pPr>
        <w:spacing w:before="120"/>
      </w:pPr>
      <w:r>
        <w:rPr>
          <w:rFonts w:ascii="Times New Roman" w:hAnsi="Times New Roman"/>
          <w:sz w:val="16"/>
        </w:rPr>
        <w:t>Source note: The LegalEase project documentation describes development activities, architecture, deployment, and testing, but does not specify actual team communication schedules, communication tools, stakeholder-review frequency, or communication challenges. Those fields are therefore marked as not documented rather than being invented.</w:t>
      </w:r>
    </w:p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F114D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245</Words>
  <Characters>1648</Characters>
  <TotalTime>0</TotalTime>
  <ScaleCrop>false</ScaleCrop>
  <LinksUpToDate>false</LinksUpToDate>
  <CharactersWithSpaces>1832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2026-09-28T16:10:00Z</dcterms:created>
  <dc:creator>py</dc:creator>
  <cp:lastModifiedBy>py</cp:lastModifiedBy>
  <dcterms:modified xsi:type="dcterms:W3CDTF">2026-10-01T03:23:59Z</dcterms:modified>
  <dc:title>Communication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D4B590AC712F449E8FF4D019A34B0AF5_13</vt:lpwstr>
  </property>
</Properties>
</file>