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120"/>
      </w:pPr>
      <w:r>
        <w:rPr>
          <w:rFonts w:ascii="Arial" w:cs="Arial" w:eastAsia="Arial" w:hAnsi="Arial"/>
          <w:b/>
          <w:bCs/>
          <w:caps/>
          <w:color w:val="2E6DA4"/>
          <w:sz w:val="18"/>
          <w:szCs w:val="18"/>
        </w:rPr>
        <w:t xml:space="preserve">MODULE 3</w:t>
      </w:r>
    </w:p>
    <w:p>
      <w:pPr>
        <w:spacing w:after="160"/>
      </w:pPr>
      <w:r>
        <w:rPr>
          <w:rFonts w:ascii="Arial" w:cs="Arial" w:eastAsia="Arial" w:hAnsi="Arial"/>
          <w:b/>
          <w:bCs/>
          <w:color w:val="1A3557"/>
          <w:sz w:val="52"/>
          <w:szCs w:val="52"/>
        </w:rPr>
        <w:t xml:space="preserve">Training + Case Solver</w:t>
      </w:r>
    </w:p>
    <w:p>
      <w:pPr>
        <w:spacing w:after="80"/>
      </w:pPr>
      <w:r>
        <w:rPr>
          <w:rFonts w:ascii="Arial" w:cs="Arial" w:eastAsia="Arial" w:hAnsi="Arial"/>
          <w:color w:val="2E6DA4"/>
          <w:sz w:val="30"/>
          <w:szCs w:val="30"/>
        </w:rPr>
        <w:t xml:space="preserve">Implementation Plan</w:t>
      </w:r>
    </w:p>
    <w:p>
      <w:pPr>
        <w:pBdr>
          <w:bottom w:val="single" w:color="2E6DA4" w:sz="6" w:space="8"/>
        </w:pBdr>
        <w:spacing w:after="400"/>
      </w:pPr>
      <w:r>
        <w:t xml:space="preserve"/>
      </w:r>
    </w:p>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tblGrid>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bCs/>
                <w:color w:val="1A3557"/>
                <w:sz w:val="20"/>
                <w:szCs w:val="20"/>
              </w:rPr>
              <w:t xml:space="preserve">Project</w:t>
            </w:r>
          </w:p>
        </w:tc>
        <w:tc>
          <w:tcPr>
            <w:tcW w:type="dxa" w:w="34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1A"/>
                <w:sz w:val="20"/>
                <w:szCs w:val="20"/>
              </w:rPr>
              <w:t xml:space="preserve">Ferrite Steel CRM</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bCs/>
                <w:color w:val="1A3557"/>
                <w:sz w:val="20"/>
                <w:szCs w:val="20"/>
              </w:rPr>
              <w:t xml:space="preserve">Module</w:t>
            </w:r>
          </w:p>
        </w:tc>
        <w:tc>
          <w:tcPr>
            <w:tcW w:type="dxa" w:w="34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1A"/>
                <w:sz w:val="20"/>
                <w:szCs w:val="20"/>
              </w:rPr>
              <w:t xml:space="preserve">3 of 6 — Training + Case Solver</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bCs/>
                <w:color w:val="1A3557"/>
                <w:sz w:val="20"/>
                <w:szCs w:val="20"/>
              </w:rPr>
              <w:t xml:space="preserve">Status</w:t>
            </w:r>
          </w:p>
        </w:tc>
        <w:tc>
          <w:tcPr>
            <w:tcW w:type="dxa" w:w="34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1A"/>
                <w:sz w:val="20"/>
                <w:szCs w:val="20"/>
              </w:rPr>
              <w:t xml:space="preserve">Architecture locked. Implementation in progress.</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bCs/>
                <w:color w:val="1A3557"/>
                <w:sz w:val="20"/>
                <w:szCs w:val="20"/>
              </w:rPr>
              <w:t xml:space="preserve">Budget</w:t>
            </w:r>
          </w:p>
        </w:tc>
        <w:tc>
          <w:tcPr>
            <w:tcW w:type="dxa" w:w="34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1A"/>
                <w:sz w:val="20"/>
                <w:szCs w:val="20"/>
              </w:rPr>
              <w:t xml:space="preserve">₹20,000</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bCs/>
                <w:color w:val="1A3557"/>
                <w:sz w:val="20"/>
                <w:szCs w:val="20"/>
              </w:rPr>
              <w:t xml:space="preserve">Effort</w:t>
            </w:r>
          </w:p>
        </w:tc>
        <w:tc>
          <w:tcPr>
            <w:tcW w:type="dxa" w:w="34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1A"/>
                <w:sz w:val="20"/>
                <w:szCs w:val="20"/>
              </w:rPr>
              <w:t xml:space="preserve">70–85 hours across approx. 5 sessions</w:t>
            </w:r>
          </w:p>
        </w:tc>
      </w:tr>
      <w:tr>
        <w:tc>
          <w:tcPr>
            <w:tcW w:type="dxa" w:w="18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b/>
                <w:bCs/>
                <w:color w:val="1A3557"/>
                <w:sz w:val="20"/>
                <w:szCs w:val="20"/>
              </w:rPr>
              <w:t xml:space="preserve">Prepared</w:t>
            </w:r>
          </w:p>
        </w:tc>
        <w:tc>
          <w:tcPr>
            <w:tcW w:type="dxa" w:w="34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r>
              <w:rPr>
                <w:rFonts w:ascii="Arial" w:cs="Arial" w:eastAsia="Arial" w:hAnsi="Arial"/>
                <w:color w:val="1A1A1A"/>
                <w:sz w:val="20"/>
                <w:szCs w:val="20"/>
              </w:rPr>
              <w:t xml:space="preserve">June 2026</w:t>
            </w:r>
          </w:p>
        </w:tc>
      </w:tr>
    </w:tbl>
    <w:p>
      <w:r>
        <w:br w:type="page"/>
      </w:r>
    </w:p>
    <w:p>
      <w:pPr>
        <w:pStyle w:val="Heading1"/>
        <w:pBdr>
          <w:bottom w:val="single" w:color="2E6DA4" w:sz="4" w:space="4"/>
        </w:pBdr>
        <w:spacing w:after="160" w:before="360"/>
      </w:pPr>
      <w:r>
        <w:rPr>
          <w:rFonts w:ascii="Arial" w:cs="Arial" w:eastAsia="Arial" w:hAnsi="Arial"/>
          <w:b/>
          <w:bCs/>
          <w:color w:val="1A3557"/>
          <w:sz w:val="28"/>
          <w:szCs w:val="28"/>
        </w:rPr>
        <w:t xml:space="preserve">1.   Overview</w:t>
      </w:r>
    </w:p>
    <w:p>
      <w:pPr>
        <w:spacing w:after="160"/>
      </w:pPr>
      <w:r>
        <w:rPr>
          <w:rFonts w:ascii="Arial" w:cs="Arial" w:eastAsia="Arial" w:hAnsi="Arial"/>
          <w:color w:val="1A1A1A"/>
          <w:sz w:val="22"/>
          <w:szCs w:val="22"/>
        </w:rPr>
        <w:t xml:space="preserve">Module 3 equips staff with three independently deliverable capabilities: a structured repository of resolved problems (Case Management), a self-assessment quiz system (Quiz / Tutorial), and an AI-powered Q&amp;A interface over internal documents (RAG Q&amp;A). Each sub-module can be demoed and put into use as soon as it is built.</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500"/>
        <w:gridCol w:w="1300"/>
        <w:gridCol w:w="1826"/>
      </w:tblGrid>
      <w:tr>
        <w:trPr>
          <w:tblHeader/>
        </w:trP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Sub-module</w:t>
            </w:r>
          </w:p>
        </w:tc>
        <w:tc>
          <w:tcPr>
            <w:tcW w:type="dxa" w:w="3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Name</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Effort</w:t>
            </w:r>
          </w:p>
        </w:tc>
        <w:tc>
          <w:tcPr>
            <w:tcW w:type="dxa" w:w="1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Sessions</w:t>
            </w:r>
          </w:p>
        </w:tc>
        <w:tc>
          <w:tcPr>
            <w:tcW w:type="dxa" w:w="18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Blocked?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Case Management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 hrs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3B</w:t>
            </w:r>
          </w:p>
        </w:tc>
        <w:tc>
          <w:tcPr>
            <w:tcW w:type="dxa" w:w="3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Quiz / Tutorial System</w:t>
            </w:r>
          </w:p>
        </w:tc>
        <w:tc>
          <w:tcPr>
            <w:tcW w:type="dxa" w:w="1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~15 hrs</w:t>
            </w:r>
          </w:p>
        </w:tc>
        <w:tc>
          <w:tcPr>
            <w:tcW w:type="dxa" w:w="1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18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3C</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RAG Q&amp;A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40–55 hrs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3–4</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Yes — see §5</w:t>
            </w:r>
          </w:p>
        </w:tc>
      </w:tr>
    </w:tbl>
    <w:p>
      <w:pPr>
        <w:spacing w:after="320"/>
      </w:pPr>
      <w:r>
        <w:t xml:space="preserve"/>
      </w:r>
    </w:p>
    <w:p>
      <w:pPr>
        <w:pStyle w:val="Heading1"/>
        <w:pBdr>
          <w:bottom w:val="single" w:color="2E6DA4" w:sz="4" w:space="4"/>
        </w:pBdr>
        <w:spacing w:after="160" w:before="360"/>
      </w:pPr>
      <w:r>
        <w:rPr>
          <w:rFonts w:ascii="Arial" w:cs="Arial" w:eastAsia="Arial" w:hAnsi="Arial"/>
          <w:b/>
          <w:bCs/>
          <w:color w:val="1A3557"/>
          <w:sz w:val="28"/>
          <w:szCs w:val="28"/>
        </w:rPr>
        <w:t xml:space="preserve">2.   Delivery Sequence</w:t>
      </w:r>
    </w:p>
    <w:p>
      <w:pPr>
        <w:spacing w:after="160"/>
      </w:pPr>
      <w:r>
        <w:rPr>
          <w:rFonts w:ascii="Arial" w:cs="Arial" w:eastAsia="Arial" w:hAnsi="Arial"/>
          <w:color w:val="1A1A1A"/>
          <w:sz w:val="22"/>
          <w:szCs w:val="22"/>
        </w:rPr>
        <w:t xml:space="preserve">Sub-modules 3A and 3B are built in sequence and can be demonstrated to the client immediately upon completion. Sub-module 3C cannot begin until two outstanding client questions are resolved (see Section 5 and Section 6). In the interim, 3A and 3B deliver tangible value while the decision is pending.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
        <w:gridCol w:w="1800"/>
        <w:gridCol w:w="350"/>
        <w:gridCol w:w="2376"/>
        <w:gridCol w:w="350"/>
        <w:gridCol w:w="2000"/>
      </w:tblGrid>
      <w:tr>
        <w:tc>
          <w:tcPr>
            <w:tcW w:type="dxa" w:w="1800"/>
            <w:tcBorders>
              <w:top w:val="none" w:color="FFFFFF" w:sz="0"/>
              <w:left w:val="none" w:color="FFFFFF" w:sz="0"/>
              <w:bottom w:val="none" w:color="FFFFFF" w:sz="0"/>
              <w:right w:val="none" w:color="FFFFFF" w:sz="0"/>
            </w:tcBorders>
            <w:shd w:fill="1A3557"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3A
Case Management</w:t>
            </w:r>
          </w:p>
        </w:tc>
        <w:tc>
          <w:tcPr>
            <w:tcW w:type="dxa" w:w="35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A3557"/>
                <w:sz w:val="28"/>
                <w:szCs w:val="28"/>
              </w:rPr>
              <w:t xml:space="preserve">→</w:t>
            </w:r>
          </w:p>
        </w:tc>
        <w:tc>
          <w:tcPr>
            <w:tcW w:type="dxa" w:w="1800"/>
            <w:tcBorders>
              <w:top w:val="none" w:color="FFFFFF" w:sz="0"/>
              <w:left w:val="none" w:color="FFFFFF" w:sz="0"/>
              <w:bottom w:val="none" w:color="FFFFFF" w:sz="0"/>
              <w:right w:val="none" w:color="FFFFFF" w:sz="0"/>
            </w:tcBorders>
            <w:shd w:fill="1A3557"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3B
Quiz System</w:t>
            </w:r>
          </w:p>
        </w:tc>
        <w:tc>
          <w:tcPr>
            <w:tcW w:type="dxa" w:w="35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A3557"/>
                <w:sz w:val="28"/>
                <w:szCs w:val="28"/>
              </w:rPr>
              <w:t xml:space="preserve">→</w:t>
            </w:r>
          </w:p>
        </w:tc>
        <w:tc>
          <w:tcPr>
            <w:tcW w:type="dxa" w:w="2376"/>
            <w:tcBorders>
              <w:top w:val="none" w:color="FFFFFF" w:sz="0"/>
              <w:left w:val="none" w:color="FFFFFF" w:sz="0"/>
              <w:bottom w:val="none" w:color="FFFFFF" w:sz="0"/>
              <w:right w:val="none" w:color="FFFFFF" w:sz="0"/>
            </w:tcBorders>
            <w:shd w:fill="7A5C00"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Client Answers Required</w:t>
            </w:r>
          </w:p>
        </w:tc>
        <w:tc>
          <w:tcPr>
            <w:tcW w:type="dxa" w:w="35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A3557"/>
                <w:sz w:val="28"/>
                <w:szCs w:val="28"/>
              </w:rPr>
              <w:t xml:space="preserve">→</w:t>
            </w:r>
          </w:p>
        </w:tc>
        <w:tc>
          <w:tcPr>
            <w:tcW w:type="dxa" w:w="2000"/>
            <w:tcBorders>
              <w:top w:val="none" w:color="FFFFFF" w:sz="0"/>
              <w:left w:val="none" w:color="FFFFFF" w:sz="0"/>
              <w:bottom w:val="none" w:color="FFFFFF" w:sz="0"/>
              <w:right w:val="none" w:color="FFFFFF" w:sz="0"/>
            </w:tcBorders>
            <w:shd w:fill="2E6DA4" w:val="clear"/>
            <w:tcMar>
              <w:top w:type="dxa" w:w="120"/>
              <w:left w:type="dxa" w:w="100"/>
              <w:bottom w:type="dxa" w:w="120"/>
              <w:right w:type="dxa" w:w="100"/>
            </w:tcMar>
            <w:vAlign w:val="center"/>
          </w:tcPr>
          <w:p>
            <w:pPr>
              <w:jc w:val="center"/>
            </w:pPr>
            <w:r>
              <w:rPr>
                <w:rFonts w:ascii="Arial" w:cs="Arial" w:eastAsia="Arial" w:hAnsi="Arial"/>
                <w:b/>
                <w:bCs/>
                <w:color w:val="FFFFFF"/>
                <w:sz w:val="20"/>
                <w:szCs w:val="20"/>
              </w:rPr>
              <w:t xml:space="preserve">3C
RAG Q&amp;A</w:t>
            </w:r>
          </w:p>
        </w:tc>
      </w:tr>
    </w:tbl>
    <w:p>
      <w:pPr>
        <w:spacing w:after="240" w:before="100"/>
        <w:jc w:val="center"/>
      </w:pPr>
      <w:r>
        <w:rPr>
          <w:rFonts w:ascii="Arial" w:cs="Arial" w:eastAsia="Arial" w:hAnsi="Arial"/>
          <w:i/>
          <w:iCs/>
          <w:color w:val="777777"/>
          <w:sz w:val="18"/>
          <w:szCs w:val="18"/>
        </w:rPr>
        <w:t xml:space="preserve">Figure 1 — Module 3 delivery sequence</w:t>
      </w:r>
    </w:p>
    <w:p>
      <w:r>
        <w:br w:type="page"/>
      </w:r>
    </w:p>
    <w:p>
      <w:pPr>
        <w:pStyle w:val="Heading1"/>
        <w:pBdr>
          <w:bottom w:val="single" w:color="2E6DA4" w:sz="4" w:space="4"/>
        </w:pBdr>
        <w:spacing w:after="160" w:before="360"/>
      </w:pPr>
      <w:r>
        <w:rPr>
          <w:rFonts w:ascii="Arial" w:cs="Arial" w:eastAsia="Arial" w:hAnsi="Arial"/>
          <w:b/>
          <w:bCs/>
          <w:color w:val="1A3557"/>
          <w:sz w:val="28"/>
          <w:szCs w:val="28"/>
        </w:rPr>
        <w:t xml:space="preserve">3.   Sub-module 3A — Case Management</w:t>
      </w:r>
    </w:p>
    <w:p>
      <w:pPr>
        <w:pStyle w:val="Heading2"/>
        <w:spacing w:after="120" w:before="280"/>
      </w:pPr>
      <w:r>
        <w:rPr>
          <w:rFonts w:ascii="Arial" w:cs="Arial" w:eastAsia="Arial" w:hAnsi="Arial"/>
          <w:b/>
          <w:bCs/>
          <w:color w:val="1A3557"/>
          <w:sz w:val="24"/>
          <w:szCs w:val="24"/>
        </w:rPr>
        <w:t xml:space="preserve">3.1   Purpose</w:t>
      </w:r>
    </w:p>
    <w:p>
      <w:pPr>
        <w:spacing w:after="160"/>
      </w:pPr>
      <w:r>
        <w:rPr>
          <w:rFonts w:ascii="Arial" w:cs="Arial" w:eastAsia="Arial" w:hAnsi="Arial"/>
          <w:color w:val="1A1A1A"/>
          <w:sz w:val="22"/>
          <w:szCs w:val="22"/>
        </w:rPr>
        <w:t xml:space="preserve">Staff log resolved problems as structured Case records. The intended workflow is: a salesperson encounters an unusual customer situation, dictates rough notes on the lead page, triggers the AI cleanup function, and converts the cleaned notes into a formal Case record. Other staff browse cases filtered by department to learn from past situations without re-encountering the same problems.</w:t>
      </w:r>
    </w:p>
    <w:p>
      <w:pPr>
        <w:spacing w:after="160"/>
      </w:pPr>
      <w:r>
        <w:t xml:space="preserve"/>
      </w:r>
    </w:p>
    <w:p>
      <w:pPr>
        <w:pStyle w:val="Heading2"/>
        <w:spacing w:after="120" w:before="280"/>
      </w:pPr>
      <w:r>
        <w:rPr>
          <w:rFonts w:ascii="Arial" w:cs="Arial" w:eastAsia="Arial" w:hAnsi="Arial"/>
          <w:b/>
          <w:bCs/>
          <w:color w:val="1A3557"/>
          <w:sz w:val="24"/>
          <w:szCs w:val="24"/>
        </w:rPr>
        <w:t xml:space="preserve">3.2   Data Model —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4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CharField(255)</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Short summary of the problem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problem_description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TextField</w:t>
            </w:r>
          </w:p>
        </w:tc>
        <w:tc>
          <w:tcPr>
            <w:tcW w:type="dxa" w:w="4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description of the issue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context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TextField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What triggered it — customer, situation, product context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resolution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TextField</w:t>
            </w:r>
          </w:p>
        </w:tc>
        <w:tc>
          <w:tcPr>
            <w:tcW w:type="dxa" w:w="4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the issue was resolved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departments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JSONField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of team slugs, e.g. ["team_9", "cs"]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customer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FK → Customer</w:t>
            </w:r>
          </w:p>
        </w:tc>
        <w:tc>
          <w:tcPr>
            <w:tcW w:type="dxa" w:w="4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Optional link to the customer involved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created_by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FK → CustomUser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created_at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DateTimeField</w:t>
            </w:r>
          </w:p>
        </w:tc>
        <w:tc>
          <w:tcPr>
            <w:tcW w:type="dxa" w:w="4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Auto-set on creation</w:t>
            </w:r>
          </w:p>
        </w:tc>
      </w:tr>
    </w:tbl>
    <w:p>
      <w:pPr>
        <w:spacing w:after="160"/>
      </w:pPr>
      <w:r>
        <w:t xml:space="preserve"/>
      </w:r>
    </w:p>
    <w:p>
      <w:pPr>
        <w:pStyle w:val="Heading2"/>
        <w:spacing w:after="120" w:before="280"/>
      </w:pPr>
      <w:r>
        <w:rPr>
          <w:rFonts w:ascii="Arial" w:cs="Arial" w:eastAsia="Arial" w:hAnsi="Arial"/>
          <w:b/>
          <w:bCs/>
          <w:color w:val="1A3557"/>
          <w:sz w:val="24"/>
          <w:szCs w:val="24"/>
        </w:rPr>
        <w:t xml:space="preserve">3.3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View</w:t>
            </w:r>
          </w:p>
        </w:tc>
        <w:tc>
          <w:tcPr>
            <w:tcW w:type="dxa" w:w="6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case_list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Filterable by department; shows cases visible to the requesting user’s team</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case_detail</w:t>
            </w:r>
          </w:p>
        </w:tc>
        <w:tc>
          <w:tcPr>
            <w:tcW w:type="dxa" w:w="6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Full read-only view of a resolved case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case_create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Pre-filled from lead_notes_clean when coming from the “Convert to Case” button on a lead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case_edit</w:t>
            </w:r>
          </w:p>
        </w:tc>
        <w:tc>
          <w:tcPr>
            <w:tcW w:type="dxa" w:w="6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Lead and admin roles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case_delete</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 only</w:t>
            </w:r>
          </w:p>
        </w:tc>
      </w:tr>
    </w:tbl>
    <w:p>
      <w:pPr>
        <w:spacing w:after="160"/>
      </w:pPr>
      <w:r>
        <w:t xml:space="preserve"/>
      </w:r>
    </w:p>
    <w:p>
      <w:pPr>
        <w:pStyle w:val="Heading2"/>
        <w:spacing w:after="120" w:before="280"/>
      </w:pPr>
      <w:r>
        <w:rPr>
          <w:rFonts w:ascii="Arial" w:cs="Arial" w:eastAsia="Arial" w:hAnsi="Arial"/>
          <w:b/>
          <w:bCs/>
          <w:color w:val="1A3557"/>
          <w:sz w:val="24"/>
          <w:szCs w:val="24"/>
        </w:rPr>
        <w:t xml:space="preserve">3.4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Role</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Access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Any authenticated user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cases belonging to their department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Lead / Admin</w:t>
            </w:r>
          </w:p>
        </w:tc>
        <w:tc>
          <w:tcPr>
            <w:tcW w:type="dxa" w:w="6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Create, edit, and delete cases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View cases across all departments</w:t>
            </w:r>
          </w:p>
        </w:tc>
      </w:tr>
    </w:tbl>
    <w:p>
      <w:r>
        <w:br w:type="page"/>
      </w:r>
    </w:p>
    <w:p>
      <w:pPr>
        <w:pStyle w:val="Heading1"/>
        <w:pBdr>
          <w:bottom w:val="single" w:color="2E6DA4" w:sz="4" w:space="4"/>
        </w:pBdr>
        <w:spacing w:after="160" w:before="360"/>
      </w:pPr>
      <w:r>
        <w:rPr>
          <w:rFonts w:ascii="Arial" w:cs="Arial" w:eastAsia="Arial" w:hAnsi="Arial"/>
          <w:b/>
          <w:bCs/>
          <w:color w:val="1A3557"/>
          <w:sz w:val="28"/>
          <w:szCs w:val="28"/>
        </w:rPr>
        <w:t xml:space="preserve">4.   Sub-module 3B — Quiz / Tutorial System</w:t>
      </w:r>
    </w:p>
    <w:p>
      <w:pPr>
        <w:pStyle w:val="Heading2"/>
        <w:spacing w:after="120" w:before="280"/>
      </w:pPr>
      <w:r>
        <w:rPr>
          <w:rFonts w:ascii="Arial" w:cs="Arial" w:eastAsia="Arial" w:hAnsi="Arial"/>
          <w:b/>
          <w:bCs/>
          <w:color w:val="1A3557"/>
          <w:sz w:val="24"/>
          <w:szCs w:val="24"/>
        </w:rPr>
        <w:t xml:space="preserve">4.1   Purpose</w:t>
      </w:r>
    </w:p>
    <w:p>
      <w:pPr>
        <w:spacing w:after="160"/>
      </w:pPr>
      <w:r>
        <w:rPr>
          <w:rFonts w:ascii="Arial" w:cs="Arial" w:eastAsia="Arial" w:hAnsi="Arial"/>
          <w:color w:val="1A1A1A"/>
          <w:sz w:val="22"/>
          <w:szCs w:val="22"/>
        </w:rPr>
        <w:t xml:space="preserve">Administrators author questions with a reference answer. Questions are organised into QuizSets (e.g. “New Joinee Induction”, “Pricing Policy”) or left in a standalone flat pool. Staff submit answers; the LLM evaluates each response against the admin’s reference and returns an explanation regardless of correctness — reinforcing correct understanding and correcting errors.</w:t>
      </w:r>
    </w:p>
    <w:p>
      <w:pPr>
        <w:spacing w:after="160"/>
      </w:pPr>
      <w:r>
        <w:t xml:space="preserve"/>
      </w:r>
    </w:p>
    <w:p>
      <w:pPr>
        <w:pStyle w:val="Heading2"/>
        <w:spacing w:after="120" w:before="280"/>
      </w:pPr>
      <w:r>
        <w:rPr>
          <w:rFonts w:ascii="Arial" w:cs="Arial" w:eastAsia="Arial" w:hAnsi="Arial"/>
          <w:b/>
          <w:bCs/>
          <w:color w:val="1A3557"/>
          <w:sz w:val="24"/>
          <w:szCs w:val="24"/>
        </w:rPr>
        <w:t xml:space="preserve">4.2   Data Models</w:t>
      </w:r>
    </w:p>
    <w:p>
      <w:pPr>
        <w:pStyle w:val="Heading3"/>
        <w:spacing w:after="80" w:before="200"/>
      </w:pPr>
      <w:r>
        <w:rPr>
          <w:rFonts w:ascii="Arial" w:cs="Arial" w:eastAsia="Arial" w:hAnsi="Arial"/>
          <w:b/>
          <w:bCs/>
          <w:color w:val="2E6DA4"/>
          <w:sz w:val="22"/>
          <w:szCs w:val="22"/>
        </w:rPr>
        <w:t xml:space="preserve">QuizSet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4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title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CharField(255)</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description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TextField</w:t>
            </w:r>
          </w:p>
        </w:tc>
        <w:tc>
          <w:tcPr>
            <w:tcW w:type="dxa" w:w="4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Optional overview of the quiz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departments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JSONField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Which teams this quiz set is assigned to</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created_by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FK → CustomUser</w:t>
            </w:r>
          </w:p>
        </w:tc>
        <w:tc>
          <w:tcPr>
            <w:tcW w:type="dxa" w:w="4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DateTimeField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Auto-set on creation</w:t>
            </w:r>
          </w:p>
        </w:tc>
      </w:tr>
    </w:tbl>
    <w:p>
      <w:pPr>
        <w:spacing w:after="160"/>
      </w:pPr>
      <w:r>
        <w:t xml:space="preserve"/>
      </w:r>
    </w:p>
    <w:p>
      <w:pPr>
        <w:pStyle w:val="Heading3"/>
        <w:spacing w:after="80" w:before="200"/>
      </w:pPr>
      <w:r>
        <w:rPr>
          <w:rFonts w:ascii="Arial" w:cs="Arial" w:eastAsia="Arial" w:hAnsi="Arial"/>
          <w:b/>
          <w:bCs/>
          <w:color w:val="2E6DA4"/>
          <w:sz w:val="22"/>
          <w:szCs w:val="22"/>
        </w:rPr>
        <w:t xml:space="preserve">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4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question_text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TextField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question shown to the user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correct_answer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TextField</w:t>
            </w:r>
          </w:p>
        </w:tc>
        <w:tc>
          <w:tcPr>
            <w:tcW w:type="dxa" w:w="4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Admin-written reference; LLM judges the user’s answer against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TextField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Optional free-text reference to a Case, document, or policy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quiz_set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FK → QuizSet</w:t>
            </w:r>
          </w:p>
        </w:tc>
        <w:tc>
          <w:tcPr>
            <w:tcW w:type="dxa" w:w="4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Nullable. Null = standalone flat pool question.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departments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JSONField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Which teams see this question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created_by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FK → CustomUser</w:t>
            </w:r>
          </w:p>
        </w:tc>
        <w:tc>
          <w:tcPr>
            <w:tcW w:type="dxa" w:w="4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DateTimeField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Auto-set on creation</w:t>
            </w:r>
          </w:p>
        </w:tc>
      </w:tr>
    </w:tbl>
    <w:p>
      <w:pPr>
        <w:spacing w:after="160"/>
      </w:pPr>
      <w:r>
        <w:t xml:space="preserve"/>
      </w:r>
    </w:p>
    <w:p>
      <w:pPr>
        <w:pStyle w:val="Heading2"/>
        <w:spacing w:after="120" w:before="280"/>
      </w:pPr>
      <w:r>
        <w:rPr>
          <w:rFonts w:ascii="Arial" w:cs="Arial" w:eastAsia="Arial" w:hAnsi="Arial"/>
          <w:b/>
          <w:bCs/>
          <w:color w:val="1A3557"/>
          <w:sz w:val="24"/>
          <w:szCs w:val="24"/>
        </w:rPr>
        <w:t xml:space="preserve">4.3   LLM Judging</w:t>
      </w:r>
    </w:p>
    <w:p>
      <w:pPr>
        <w:spacing w:after="160"/>
      </w:pPr>
      <w:r>
        <w:rPr>
          <w:rFonts w:ascii="Arial" w:cs="Arial" w:eastAsia="Arial" w:hAnsi="Arial"/>
          <w:color w:val="1A1A1A"/>
          <w:sz w:val="22"/>
          <w:szCs w:val="22"/>
        </w:rPr>
        <w:t xml:space="preserve">The function judge_quiz_answer(question_text, correct_answer, user_answer) in training/services/llm.py calls together.ai and returns a structured response: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Key</w:t>
            </w:r>
          </w:p>
        </w:tc>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correct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Boolean. True if the answer is substantively correct.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explanation</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Always returned. Positive when correct; corrective when wrong.</w:t>
            </w:r>
          </w:p>
        </w:tc>
      </w:tr>
    </w:tbl>
    <w:p>
      <w:pPr>
        <w:spacing w:after="160"/>
      </w:pPr>
      <w:r>
        <w:t xml:space="preserve"/>
      </w:r>
    </w:p>
    <w:p>
      <w:pPr>
        <w:pStyle w:val="Heading2"/>
        <w:spacing w:after="120" w:before="280"/>
      </w:pPr>
      <w:r>
        <w:rPr>
          <w:rFonts w:ascii="Arial" w:cs="Arial" w:eastAsia="Arial" w:hAnsi="Arial"/>
          <w:b/>
          <w:bCs/>
          <w:color w:val="1A3557"/>
          <w:sz w:val="24"/>
          <w:szCs w:val="24"/>
        </w:rPr>
        <w:t xml:space="preserve">4.4   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View</w:t>
            </w:r>
          </w:p>
        </w:tc>
        <w:tc>
          <w:tcPr>
            <w:tcW w:type="dxa" w:w="64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quiz_list</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Shows QuizSets and flat pool questions visible to the user’s department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quiz_detail</w:t>
            </w:r>
          </w:p>
        </w:tc>
        <w:tc>
          <w:tcPr>
            <w:tcW w:type="dxa" w:w="64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questions in a set; user answers one at a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question_answer</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 endpoint: receives user answer, calls LLM judge, returns result</w:t>
            </w:r>
          </w:p>
        </w:tc>
      </w:tr>
    </w:tbl>
    <w:p>
      <w:r>
        <w:br w:type="page"/>
      </w:r>
    </w:p>
    <w:p>
      <w:pPr>
        <w:pStyle w:val="Heading1"/>
        <w:pBdr>
          <w:bottom w:val="single" w:color="2E6DA4" w:sz="4" w:space="4"/>
        </w:pBdr>
        <w:spacing w:after="160" w:before="360"/>
      </w:pPr>
      <w:r>
        <w:rPr>
          <w:rFonts w:ascii="Arial" w:cs="Arial" w:eastAsia="Arial" w:hAnsi="Arial"/>
          <w:b/>
          <w:bCs/>
          <w:color w:val="1A3557"/>
          <w:sz w:val="28"/>
          <w:szCs w:val="28"/>
        </w:rPr>
        <w:t xml:space="preserve">5.   Sub-module 3C — RAG Q&amp;A</w:t>
      </w:r>
    </w:p>
    <w:p>
      <w:pPr>
        <w:pStyle w:val="Heading2"/>
        <w:spacing w:after="120" w:before="280"/>
      </w:pPr>
      <w:r>
        <w:rPr>
          <w:rFonts w:ascii="Arial" w:cs="Arial" w:eastAsia="Arial" w:hAnsi="Arial"/>
          <w:b/>
          <w:bCs/>
          <w:color w:val="1A3557"/>
          <w:sz w:val="24"/>
          <w:szCs w:val="24"/>
        </w:rPr>
        <w:t xml:space="preserve">5.1   Purpose</w:t>
      </w:r>
    </w:p>
    <w:p>
      <w:pPr>
        <w:spacing w:after="160"/>
      </w:pPr>
      <w:r>
        <w:rPr>
          <w:rFonts w:ascii="Arial" w:cs="Arial" w:eastAsia="Arial" w:hAnsi="Arial"/>
          <w:color w:val="1A1A1A"/>
          <w:sz w:val="22"/>
          <w:szCs w:val="22"/>
        </w:rPr>
        <w:t xml:space="preserve">Staff ask operational questions in plain English. The system performs vector similarity search over uploaded documents and Case records to retrieve relevant context. The LLM then composes a grounded answer from the retrieved material. Supported document types include product catalogues, pricing guidelines, standard operating procedures, company policies, technical steel references, competitor notes, and historical Cases.</w:t>
      </w:r>
    </w:p>
    <w:p>
      <w:pPr>
        <w:spacing w:after="160"/>
      </w:pPr>
      <w:r>
        <w:t xml:space="preserve"/>
      </w:r>
    </w:p>
    <w:p>
      <w:pPr>
        <w:pStyle w:val="Heading2"/>
        <w:spacing w:after="120" w:before="280"/>
      </w:pPr>
      <w:r>
        <w:rPr>
          <w:rFonts w:ascii="Arial" w:cs="Arial" w:eastAsia="Arial" w:hAnsi="Arial"/>
          <w:b/>
          <w:bCs/>
          <w:color w:val="1A3557"/>
          <w:sz w:val="24"/>
          <w:szCs w:val="24"/>
        </w:rPr>
        <w:t xml:space="preserve">5.2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
        <w:gridCol w:w="2000"/>
        <w:gridCol w:w="350"/>
        <w:gridCol w:w="2000"/>
        <w:gridCol w:w="350"/>
        <w:gridCol w:w="1976"/>
      </w:tblGrid>
      <w:tr>
        <w:tc>
          <w:tcPr>
            <w:gridSpan w:val="7"/>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r>
              <w:rPr>
                <w:rFonts w:ascii="Arial" w:cs="Arial" w:eastAsia="Arial" w:hAnsi="Arial"/>
                <w:b/>
                <w:bCs/>
                <w:color w:val="2C5282"/>
                <w:sz w:val="18"/>
                <w:szCs w:val="18"/>
              </w:rPr>
              <w:t xml:space="preserve">Ingestion Pipeline</w:t>
            </w:r>
          </w:p>
        </w:tc>
      </w:tr>
      <w:tr>
        <w:tc>
          <w:tcPr>
            <w:tcW w:type="dxa" w:w="2000"/>
            <w:tcBorders>
              <w:top w:val="single" w:color="CCCCCC" w:sz="1"/>
              <w:left w:val="single" w:color="CCCCCC" w:sz="1"/>
              <w:bottom w:val="single" w:color="CCCCCC" w:sz="1"/>
              <w:right w:val="single" w:color="CCCCCC" w:sz="1"/>
            </w:tcBorders>
            <w:shd w:fill="2C5282"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8"/>
                <w:szCs w:val="18"/>
              </w:rPr>
              <w:t xml:space="preserve">Upload File
(PDF / DOCX / Excel)</w:t>
            </w:r>
          </w:p>
        </w:tc>
        <w:tc>
          <w:tcPr>
            <w:tcW w:type="dxa" w:w="35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A3557"/>
                <w:sz w:val="24"/>
                <w:szCs w:val="24"/>
              </w:rPr>
              <w:t xml:space="preserve">→</w:t>
            </w:r>
          </w:p>
        </w:tc>
        <w:tc>
          <w:tcPr>
            <w:tcW w:type="dxa" w:w="2000"/>
            <w:tcBorders>
              <w:top w:val="single" w:color="CCCCCC" w:sz="1"/>
              <w:left w:val="single" w:color="CCCCCC" w:sz="1"/>
              <w:bottom w:val="single" w:color="CCCCCC" w:sz="1"/>
              <w:right w:val="single" w:color="CCCCCC" w:sz="1"/>
            </w:tcBorders>
            <w:shd w:fill="2C5282"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8"/>
                <w:szCs w:val="18"/>
              </w:rPr>
              <w:t xml:space="preserve">Extract Text</w:t>
            </w:r>
          </w:p>
        </w:tc>
        <w:tc>
          <w:tcPr>
            <w:tcW w:type="dxa" w:w="35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A3557"/>
                <w:sz w:val="24"/>
                <w:szCs w:val="24"/>
              </w:rPr>
              <w:t xml:space="preserve">→</w:t>
            </w:r>
          </w:p>
        </w:tc>
        <w:tc>
          <w:tcPr>
            <w:tcW w:type="dxa" w:w="2000"/>
            <w:tcBorders>
              <w:top w:val="single" w:color="CCCCCC" w:sz="1"/>
              <w:left w:val="single" w:color="CCCCCC" w:sz="1"/>
              <w:bottom w:val="single" w:color="CCCCCC" w:sz="1"/>
              <w:right w:val="single" w:color="CCCCCC" w:sz="1"/>
            </w:tcBorders>
            <w:shd w:fill="2C5282"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8"/>
                <w:szCs w:val="18"/>
              </w:rPr>
              <w:t xml:space="preserve">Chunk &amp;
Embed (together.ai)</w:t>
            </w:r>
          </w:p>
        </w:tc>
        <w:tc>
          <w:tcPr>
            <w:tcW w:type="dxa" w:w="35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A3557"/>
                <w:sz w:val="24"/>
                <w:szCs w:val="24"/>
              </w:rPr>
              <w:t xml:space="preserve">→</w:t>
            </w:r>
          </w:p>
        </w:tc>
        <w:tc>
          <w:tcPr>
            <w:tcW w:type="dxa" w:w="1976"/>
            <w:tcBorders>
              <w:top w:val="single" w:color="CCCCCC" w:sz="1"/>
              <w:left w:val="single" w:color="CCCCCC" w:sz="1"/>
              <w:bottom w:val="single" w:color="CCCCCC" w:sz="1"/>
              <w:right w:val="single" w:color="CCCCCC" w:sz="1"/>
            </w:tcBorders>
            <w:shd w:fill="2C5282"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8"/>
                <w:szCs w:val="18"/>
              </w:rPr>
              <w:t xml:space="preserve">Store in
pgvector</w:t>
            </w:r>
          </w:p>
        </w:tc>
      </w:tr>
      <w:tr>
        <w:tc>
          <w:tcPr>
            <w:gridSpan w:val="7"/>
            <w:tcBorders>
              <w:top w:val="none" w:color="FFFFFF" w:sz="0"/>
              <w:left w:val="none" w:color="FFFFFF" w:sz="0"/>
              <w:bottom w:val="none" w:color="FFFFFF" w:sz="0"/>
              <w:right w:val="none" w:color="FFFFFF" w:sz="0"/>
            </w:tcBorders>
            <w:shd w:fill="FFFFFF" w:val="clear"/>
            <w:tcMar>
              <w:top w:type="dxa" w:w="30"/>
              <w:left w:type="dxa" w:w="0"/>
              <w:bottom w:type="dxa" w:w="30"/>
              <w:right w:type="dxa" w:w="0"/>
            </w:tcMar>
          </w:tcPr>
          <w:p>
            <w:r>
              <w:t xml:space="preserve"/>
            </w:r>
          </w:p>
        </w:tc>
      </w:tr>
      <w:tr>
        <w:tc>
          <w:tcPr>
            <w:gridSpan w:val="7"/>
            <w:tcBorders>
              <w:top w:val="none" w:color="FFFFFF" w:sz="0"/>
              <w:left w:val="none" w:color="FFFFFF" w:sz="0"/>
              <w:bottom w:val="none" w:color="FFFFFF" w:sz="0"/>
              <w:right w:val="none" w:color="FFFFFF" w:sz="0"/>
            </w:tcBorders>
            <w:shd w:fill="FFFFFF" w:val="clear"/>
            <w:tcMar>
              <w:top w:type="dxa" w:w="80"/>
              <w:left w:type="dxa" w:w="0"/>
              <w:bottom w:type="dxa" w:w="60"/>
              <w:right w:type="dxa" w:w="0"/>
            </w:tcMar>
          </w:tcPr>
          <w:p>
            <w:r>
              <w:rPr>
                <w:rFonts w:ascii="Arial" w:cs="Arial" w:eastAsia="Arial" w:hAnsi="Arial"/>
                <w:b/>
                <w:bCs/>
                <w:color w:val="276749"/>
                <w:sz w:val="18"/>
                <w:szCs w:val="18"/>
              </w:rPr>
              <w:t xml:space="preserve">Query Pipeline</w:t>
            </w:r>
          </w:p>
        </w:tc>
      </w:tr>
      <w:tr>
        <w:tc>
          <w:tcPr>
            <w:tcW w:type="dxa" w:w="2000"/>
            <w:tcBorders>
              <w:top w:val="single" w:color="CCCCCC" w:sz="1"/>
              <w:left w:val="single" w:color="CCCCCC" w:sz="1"/>
              <w:bottom w:val="single" w:color="CCCCCC" w:sz="1"/>
              <w:right w:val="single" w:color="CCCCCC" w:sz="1"/>
            </w:tcBorders>
            <w:shd w:fill="276749"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8"/>
                <w:szCs w:val="18"/>
              </w:rPr>
              <w:t xml:space="preserve">Staff Question
(plain English)</w:t>
            </w:r>
          </w:p>
        </w:tc>
        <w:tc>
          <w:tcPr>
            <w:tcW w:type="dxa" w:w="35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A3557"/>
                <w:sz w:val="24"/>
                <w:szCs w:val="24"/>
              </w:rPr>
              <w:t xml:space="preserve">→</w:t>
            </w:r>
          </w:p>
        </w:tc>
        <w:tc>
          <w:tcPr>
            <w:tcW w:type="dxa" w:w="2000"/>
            <w:tcBorders>
              <w:top w:val="single" w:color="CCCCCC" w:sz="1"/>
              <w:left w:val="single" w:color="CCCCCC" w:sz="1"/>
              <w:bottom w:val="single" w:color="CCCCCC" w:sz="1"/>
              <w:right w:val="single" w:color="CCCCCC" w:sz="1"/>
            </w:tcBorders>
            <w:shd w:fill="276749"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8"/>
                <w:szCs w:val="18"/>
              </w:rPr>
              <w:t xml:space="preserve">Embed
Query</w:t>
            </w:r>
          </w:p>
        </w:tc>
        <w:tc>
          <w:tcPr>
            <w:tcW w:type="dxa" w:w="35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A3557"/>
                <w:sz w:val="24"/>
                <w:szCs w:val="24"/>
              </w:rPr>
              <w:t xml:space="preserve">→</w:t>
            </w:r>
          </w:p>
        </w:tc>
        <w:tc>
          <w:tcPr>
            <w:tcW w:type="dxa" w:w="2000"/>
            <w:tcBorders>
              <w:top w:val="single" w:color="CCCCCC" w:sz="1"/>
              <w:left w:val="single" w:color="CCCCCC" w:sz="1"/>
              <w:bottom w:val="single" w:color="CCCCCC" w:sz="1"/>
              <w:right w:val="single" w:color="CCCCCC" w:sz="1"/>
            </w:tcBorders>
            <w:shd w:fill="276749"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8"/>
                <w:szCs w:val="18"/>
              </w:rPr>
              <w:t xml:space="preserve">Vector Search
(top-k chunks + Cases)</w:t>
            </w:r>
          </w:p>
        </w:tc>
        <w:tc>
          <w:tcPr>
            <w:tcW w:type="dxa" w:w="350"/>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center"/>
          </w:tcPr>
          <w:p>
            <w:pPr>
              <w:jc w:val="center"/>
            </w:pPr>
            <w:r>
              <w:rPr>
                <w:rFonts w:ascii="Arial" w:cs="Arial" w:eastAsia="Arial" w:hAnsi="Arial"/>
                <w:b/>
                <w:bCs/>
                <w:color w:val="1A3557"/>
                <w:sz w:val="24"/>
                <w:szCs w:val="24"/>
              </w:rPr>
              <w:t xml:space="preserve">→</w:t>
            </w:r>
          </w:p>
        </w:tc>
        <w:tc>
          <w:tcPr>
            <w:tcW w:type="dxa" w:w="1976"/>
            <w:tcBorders>
              <w:top w:val="single" w:color="CCCCCC" w:sz="1"/>
              <w:left w:val="single" w:color="CCCCCC" w:sz="1"/>
              <w:bottom w:val="single" w:color="CCCCCC" w:sz="1"/>
              <w:right w:val="single" w:color="CCCCCC" w:sz="1"/>
            </w:tcBorders>
            <w:shd w:fill="276749" w:val="clear"/>
            <w:tcMar>
              <w:top w:type="dxa" w:w="100"/>
              <w:left w:type="dxa" w:w="80"/>
              <w:bottom w:type="dxa" w:w="100"/>
              <w:right w:type="dxa" w:w="80"/>
            </w:tcMar>
            <w:vAlign w:val="center"/>
          </w:tcPr>
          <w:p>
            <w:pPr>
              <w:jc w:val="center"/>
            </w:pPr>
            <w:r>
              <w:rPr>
                <w:rFonts w:ascii="Arial" w:cs="Arial" w:eastAsia="Arial" w:hAnsi="Arial"/>
                <w:b w:val="false"/>
                <w:bCs w:val="false"/>
                <w:color w:val="FFFFFF"/>
                <w:sz w:val="18"/>
                <w:szCs w:val="18"/>
              </w:rPr>
              <w:t xml:space="preserve">LLM Composes
Answer</w:t>
            </w:r>
          </w:p>
        </w:tc>
      </w:tr>
    </w:tbl>
    <w:p>
      <w:pPr>
        <w:spacing w:after="240" w:before="100"/>
        <w:jc w:val="center"/>
      </w:pPr>
      <w:r>
        <w:rPr>
          <w:rFonts w:ascii="Arial" w:cs="Arial" w:eastAsia="Arial" w:hAnsi="Arial"/>
          <w:i/>
          <w:iCs/>
          <w:color w:val="777777"/>
          <w:sz w:val="18"/>
          <w:szCs w:val="18"/>
        </w:rPr>
        <w:t xml:space="preserve">Figure 2 — RAG ingestion and query pipelines</w:t>
      </w:r>
    </w:p>
    <w:p>
      <w:pPr>
        <w:pStyle w:val="Heading2"/>
        <w:spacing w:after="120" w:before="280"/>
      </w:pPr>
      <w:r>
        <w:rPr>
          <w:rFonts w:ascii="Arial" w:cs="Arial" w:eastAsia="Arial" w:hAnsi="Arial"/>
          <w:b/>
          <w:bCs/>
          <w:color w:val="1A3557"/>
          <w:sz w:val="24"/>
          <w:szCs w:val="24"/>
        </w:rPr>
        <w:t xml:space="preserve">5.3   Data Models</w:t>
      </w:r>
    </w:p>
    <w:p>
      <w:pPr>
        <w:pStyle w:val="Heading3"/>
        <w:spacing w:after="80" w:before="200"/>
      </w:pPr>
      <w:r>
        <w:rPr>
          <w:rFonts w:ascii="Arial" w:cs="Arial" w:eastAsia="Arial" w:hAnsi="Arial"/>
          <w:b/>
          <w:bCs/>
          <w:color w:val="2E6DA4"/>
          <w:sz w:val="22"/>
          <w:szCs w:val="22"/>
        </w:rPr>
        <w:t xml:space="preserve">KnowledgeDocument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4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FileField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Original file. upload_to='documents/'. File retention subject to client answer Q13.</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title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CharField(255)</w:t>
            </w:r>
          </w:p>
        </w:tc>
        <w:tc>
          <w:tcPr>
            <w:tcW w:type="dxa" w:w="4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keywords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JSONField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Admin-tagged terms for retrieval filtering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departments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JSONField</w:t>
            </w:r>
          </w:p>
        </w:tc>
        <w:tc>
          <w:tcPr>
            <w:tcW w:type="dxa" w:w="4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Which teams can access this document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description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TextField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Optional. Summary of what the document covers.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is_processed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BooleanField</w:t>
            </w:r>
          </w:p>
        </w:tc>
        <w:tc>
          <w:tcPr>
            <w:tcW w:type="dxa" w:w="4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False until text has been extracted and embedded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processed_at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DateTimeField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Nullable. Stamped when processing completes.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uploaded_by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FK → CustomUser</w:t>
            </w:r>
          </w:p>
        </w:tc>
        <w:tc>
          <w:tcPr>
            <w:tcW w:type="dxa" w:w="46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uploaded_at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DateTimeField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Auto-set on upload</w:t>
            </w:r>
          </w:p>
        </w:tc>
      </w:tr>
    </w:tbl>
    <w:p>
      <w:pPr>
        <w:spacing w:after="160"/>
      </w:pPr>
      <w:r>
        <w:t xml:space="preserve"/>
      </w:r>
    </w:p>
    <w:p>
      <w:pPr>
        <w:pStyle w:val="Heading3"/>
        <w:spacing w:after="80" w:before="200"/>
      </w:pPr>
      <w:r>
        <w:rPr>
          <w:rFonts w:ascii="Arial" w:cs="Arial" w:eastAsia="Arial" w:hAnsi="Arial"/>
          <w:b/>
          <w:bCs/>
          <w:color w:val="2E6DA4"/>
          <w:sz w:val="22"/>
          <w:szCs w:val="22"/>
        </w:rPr>
        <w:t xml:space="preserve">DocumentChunk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Field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document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FK → KnowledgeDocument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CASCADE delete when parent document is removed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chunk_text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TextField</w:t>
            </w:r>
          </w:p>
        </w:tc>
        <w:tc>
          <w:tcPr>
            <w:tcW w:type="dxa" w:w="4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Extracted text segment from the original 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embedding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VectorField(768)</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together.ai embedding model output. Stored via pgvector extension.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chunk_index</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IntegerField</w:t>
            </w:r>
          </w:p>
        </w:tc>
        <w:tc>
          <w:tcPr>
            <w:tcW w:type="dxa" w:w="42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Position of this chunk within the original document</w:t>
            </w:r>
          </w:p>
        </w:tc>
      </w:tr>
    </w:tbl>
    <w:p>
      <w:pPr>
        <w:spacing w:after="160"/>
      </w:pPr>
      <w:r>
        <w:t xml:space="preserve"/>
      </w:r>
    </w:p>
    <w:p>
      <w:pPr>
        <w:pStyle w:val="Heading2"/>
        <w:spacing w:after="120" w:before="280"/>
      </w:pPr>
      <w:r>
        <w:rPr>
          <w:rFonts w:ascii="Arial" w:cs="Arial" w:eastAsia="Arial" w:hAnsi="Arial"/>
          <w:b/>
          <w:bCs/>
          <w:color w:val="1A3557"/>
          <w:sz w:val="24"/>
          <w:szCs w:val="24"/>
        </w:rPr>
        <w:t xml:space="preserve">5.4   pgvector Setup</w:t>
      </w:r>
    </w:p>
    <w:p>
      <w:pPr>
        <w:spacing w:after="160"/>
      </w:pPr>
      <w:r>
        <w:rPr>
          <w:rFonts w:ascii="Arial" w:cs="Arial" w:eastAsia="Arial" w:hAnsi="Arial"/>
          <w:color w:val="1A1A1A"/>
          <w:sz w:val="22"/>
          <w:szCs w:val="22"/>
        </w:rPr>
        <w:t xml:space="preserve">Run the following SQL once on the PostgreSQL database prior to creating the DocumentChunk migration. This installs the vector extension that DocumentChunk depends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F0F4F8" w:val="clear"/>
            <w:tcMar>
              <w:top w:type="dxa" w:w="120"/>
              <w:left w:type="dxa" w:w="200"/>
              <w:bottom w:type="dxa" w:w="120"/>
              <w:right w:type="dxa" w:w="120"/>
            </w:tcMar>
          </w:tcPr>
          <w:p>
            <w:r>
              <w:rPr>
                <w:rFonts w:ascii="Courier New" w:cs="Courier New" w:eastAsia="Courier New" w:hAnsi="Courier New"/>
                <w:color w:val="2C3E50"/>
                <w:sz w:val="20"/>
                <w:szCs w:val="20"/>
              </w:rPr>
              <w:t xml:space="preserve">CREATE EXTENSION IF NOT EXISTS vector;</w:t>
            </w:r>
          </w:p>
        </w:tc>
      </w:tr>
    </w:tbl>
    <w:p>
      <w:pPr>
        <w:spacing w:after="160"/>
      </w:pPr>
      <w:r>
        <w:t xml:space="preserve"/>
      </w:r>
    </w:p>
    <w:p>
      <w:pPr>
        <w:pStyle w:val="Heading2"/>
        <w:spacing w:after="120" w:before="280"/>
      </w:pPr>
      <w:r>
        <w:rPr>
          <w:rFonts w:ascii="Arial" w:cs="Arial" w:eastAsia="Arial" w:hAnsi="Arial"/>
          <w:b/>
          <w:bCs/>
          <w:color w:val="1A3557"/>
          <w:sz w:val="24"/>
          <w:szCs w:val="24"/>
        </w:rPr>
        <w:t xml:space="preserve">5.5   Blockers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6"/>
              <w:left w:val="single" w:color="C0392B" w:sz="12"/>
              <w:bottom w:val="single" w:color="C0392B" w:sz="2"/>
              <w:right w:val="single" w:color="C0392B" w:sz="2"/>
            </w:tcBorders>
            <w:shd w:fill="FDECEA" w:val="clear"/>
            <w:tcMar>
              <w:top w:type="dxa" w:w="120"/>
              <w:left w:type="dxa" w:w="200"/>
              <w:bottom w:type="dxa" w:w="120"/>
              <w:right w:type="dxa" w:w="120"/>
            </w:tcMar>
          </w:tcPr>
          <w:p>
            <w:pPr>
              <w:spacing w:after="100"/>
            </w:pPr>
            <w:r>
              <w:rPr>
                <w:rFonts w:ascii="Arial" w:cs="Arial" w:eastAsia="Arial" w:hAnsi="Arial"/>
                <w:b/>
                <w:bCs/>
                <w:color w:val="C0392B"/>
                <w:sz w:val="22"/>
                <w:szCs w:val="22"/>
              </w:rPr>
              <w:t xml:space="preserve">BLOCKED — Do not build until client answers these questions</w:t>
            </w:r>
          </w:p>
          <w:p>
            <w:pPr>
              <w:pStyle w:val="ListParagraph"/>
              <w:numPr>
                <w:ilvl w:val="0"/>
                <w:numId w:val="2"/>
              </w:numPr>
              <w:spacing w:after="80"/>
            </w:pPr>
            <w:r>
              <w:rPr>
                <w:rFonts w:ascii="Arial" w:cs="Arial" w:eastAsia="Arial" w:hAnsi="Arial"/>
                <w:color w:val="3D1515"/>
                <w:sz w:val="20"/>
                <w:szCs w:val="20"/>
              </w:rPr>
              <w:t xml:space="preserve">Question 13: Should original uploaded files be retained and made available for download, or is extracted text alone sufficient? This determines whether the FileField and file storage are needed beyond the processing stage.</w:t>
            </w:r>
          </w:p>
          <w:p>
            <w:pPr>
              <w:pStyle w:val="ListParagraph"/>
              <w:numPr>
                <w:ilvl w:val="0"/>
                <w:numId w:val="2"/>
              </w:numPr>
              <w:spacing w:after="80"/>
            </w:pPr>
            <w:r>
              <w:rPr>
                <w:rFonts w:ascii="Arial" w:cs="Arial" w:eastAsia="Arial" w:hAnsi="Arial"/>
                <w:color w:val="3D1515"/>
                <w:sz w:val="20"/>
                <w:szCs w:val="20"/>
              </w:rPr>
              <w:t xml:space="preserve">Question 14: When a document is uploaded, must it be available for Q&amp;A immediately, or is a processing delay of a few minutes acceptable? The answer determines the processing trigger: a synchronous “Process” button (simple, no background workers) versus an asynchronous cron job. Do not design or build the processing pipeline until this is confirmed.</w:t>
            </w:r>
          </w:p>
        </w:tc>
      </w:tr>
    </w:tbl>
    <w:p>
      <w:r>
        <w:br w:type="page"/>
      </w:r>
    </w:p>
    <w:p>
      <w:pPr>
        <w:pStyle w:val="Heading1"/>
        <w:pBdr>
          <w:bottom w:val="single" w:color="2E6DA4" w:sz="4" w:space="4"/>
        </w:pBdr>
        <w:spacing w:after="160" w:before="360"/>
      </w:pPr>
      <w:r>
        <w:rPr>
          <w:rFonts w:ascii="Arial" w:cs="Arial" w:eastAsia="Arial" w:hAnsi="Arial"/>
          <w:b/>
          <w:bCs/>
          <w:color w:val="1A3557"/>
          <w:sz w:val="28"/>
          <w:szCs w:val="28"/>
        </w:rPr>
        <w:t xml:space="preserve">6.   Open Client Questions</w:t>
      </w:r>
    </w:p>
    <w:p>
      <w:pPr>
        <w:spacing w:after="160"/>
      </w:pPr>
      <w:r>
        <w:rPr>
          <w:rFonts w:ascii="Arial" w:cs="Arial" w:eastAsia="Arial" w:hAnsi="Arial"/>
          <w:color w:val="1A1A1A"/>
          <w:sz w:val="22"/>
          <w:szCs w:val="22"/>
        </w:rPr>
        <w:t xml:space="preserve">The following questions require client input before the affected work can begin. Questions 13 and 14 are on the critical path for Sub-module 3C and should be prioritised in the next client meeting.</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6"/>
      </w:tblGrid>
      <w:tr>
        <w:trPr>
          <w:tblHeader/>
        </w:trP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w:t>
            </w:r>
          </w:p>
        </w:tc>
        <w:tc>
          <w:tcPr>
            <w:tcW w:type="dxa" w:w="5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Question</w:t>
            </w:r>
          </w:p>
        </w:tc>
        <w:tc>
          <w:tcPr>
            <w:tcW w:type="dxa" w:w="3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Blocks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Should original uploaded files be retained and made downloadable, or is extracted text alone sufficient?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3C — KnowledgeDocument design</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14</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Does document processing need to be immediate on upload, or is a delay of a few minutes acceptable?</w:t>
            </w:r>
          </w:p>
        </w:tc>
        <w:tc>
          <w:tcPr>
            <w:tcW w:type="dxa" w:w="3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3C — Processing pipeline trigger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Are most questions expected to be in organised quiz sets, or is a flat pool sufficient? What is the rough split?</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3B — UI navigation priority</w:t>
            </w:r>
          </w:p>
        </w:tc>
      </w:tr>
      <w:tr>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16</w:t>
            </w:r>
          </w:p>
        </w:tc>
        <w:tc>
          <w:tcPr>
            <w:tcW w:type="dxa" w:w="5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1A1A1A"/>
                <w:sz w:val="20"/>
                <w:szCs w:val="20"/>
              </w:rPr>
              <w:t xml:space="preserve">Do salespeople use Chrome or Edge as their primary browser?</w:t>
            </w:r>
          </w:p>
        </w:tc>
        <w:tc>
          <w:tcPr>
            <w:tcW w:type="dxa" w:w="3026"/>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A1A1A"/>
                <w:sz w:val="20"/>
                <w:szCs w:val="20"/>
              </w:rPr>
              <w:t xml:space="preserve">Voice dictation — </w:t>
            </w:r>
            <w:r>
              <w:rPr>
                <w:rFonts w:ascii="Arial" w:cs="Arial" w:eastAsia="Arial" w:hAnsi="Arial"/>
                <w:b/>
                <w:bCs/>
                <w:color w:val="276749"/>
                <w:sz w:val="20"/>
                <w:szCs w:val="20"/>
              </w:rPr>
              <w:t xml:space="preserve">Resolved. Chrome confirmed.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b/>
        <w:bCs/>
        <w:color w:val="1A3557"/>
        <w:sz w:val="18"/>
        <w:szCs w:val="18"/>
      </w:rPr>
      <w:t xml:space="preserve">FERRITE STEEL CRM</w:t>
    </w:r>
    <w:r>
      <w:rPr>
        <w:rFonts w:ascii="Arial" w:cs="Arial" w:eastAsia="Arial" w:hAnsi="Arial"/>
        <w:color w:val="555555"/>
        <w:sz w:val="18"/>
        <w:szCs w:val="18"/>
      </w:rPr>
      <w:t xml:space="preserve">   —   Module 3: Training + Case Solver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557"/>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3557"/>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2026-06-07T21:41:57.468Z</dcterms:created>
  <dcterms:modified xsi:type="dcterms:W3CDTF">2026-06-07T21:41:57.469Z</dcterms:modified>
</cp:coreProperties>
</file>

<file path=docProps/custom.xml><?xml version="1.0" encoding="utf-8"?>
<Properties xmlns="http://schemas.openxmlformats.org/officeDocument/2006/custom-properties" xmlns:vt="http://schemas.openxmlformats.org/officeDocument/2006/docPropsVTypes"/>
</file>