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 w14:paraId="00000001" w14:textId="00000002">
      <w:r>
        <w:t>Walking on imported air</w:t>
      </w:r>
      <w:bookmarkStart w:id="0" w:name="_GoBack"/>
      <w:bookmarkEnd w:id="0"/>
    </w:p>
    <w:sectPr w:rsidR="003872F6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 xmlns:w14="http://schemas.microsoft.com/office/word/2010/wordml" w14:paraId="00000003" w14:textId="00000004">
    <w:r>
      <w:drawing>
        <wp:inline xmlns:wp="http://schemas.openxmlformats.org/drawingml/2006/wordprocessingDrawing">
          <wp:extent cx="95250" cy="95250"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" cy="9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