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Editorial Engagement Letter</w:t>
      </w:r>
    </w:p>
    <w:p>
      <w:r>
        <w:t xml:space="preserve">Between Jandira Technologies, LLC ("Jandira") and the Cortado Review</w:t>
      </w:r>
      <w:r>
        <w:t xml:space="preserve"> </w:t>
      </w:r>
      <w:r>
        <w:t xml:space="preserve">("the Publisher"), dated 10 February 2026.</w:t>
      </w:r>
    </w:p>
    <w:p>
      <w:pPr>
        <w:pStyle w:val="Heading2"/>
      </w:pPr>
      <w:r>
        <w:t xml:space="preserve">1. Engagement</w:t>
      </w:r>
    </w:p>
    <w:p>
      <w:r>
        <w:t xml:space="preserve">Jandira will copyedit the Publisher's quarterly review, issues 41</w:t>
      </w:r>
      <w:r>
        <w:t xml:space="preserve"> </w:t>
      </w:r>
      <w:r>
        <w:t xml:space="preserve">through 44, on the schedule attached to this letter. Each issue is</w:t>
      </w:r>
      <w:r>
        <w:t xml:space="preserve"> </w:t>
      </w:r>
      <w:r>
        <w:t xml:space="preserve">delivered as a single document of roughly eighty manuscript pages,</w:t>
      </w:r>
      <w:r>
        <w:t xml:space="preserve"> </w:t>
      </w:r>
      <w:r>
        <w:t xml:space="preserve">with figures, tables and pull quotes already placed by the Publisher's</w:t>
      </w:r>
      <w:r>
        <w:t xml:space="preserve"> </w:t>
      </w:r>
      <w:r>
        <w:t xml:space="preserve">designer.</w:t>
      </w:r>
    </w:p>
    <w:p>
      <w:pPr>
        <w:pStyle w:val="Heading2"/>
      </w:pPr>
      <w:r>
        <w:t xml:space="preserve">2. What the edit covers</w:t>
      </w:r>
    </w:p>
    <w:p>
      <w:pPr>
        <w:pStyle w:val="ListParagraph"/>
        <w:numPr>
          <w:ilvl w:val="0"/>
          <w:numId w:val="1"/>
        </w:numPr>
      </w:pPr>
      <w:r>
        <w:t xml:space="preserve">Spelling, punctuation and grammar against the attached house sheet</w:t>
      </w:r>
    </w:p>
    <w:p>
      <w:pPr>
        <w:pStyle w:val="ListParagraph"/>
        <w:numPr>
          <w:ilvl w:val="0"/>
          <w:numId w:val="1"/>
        </w:numPr>
      </w:pPr>
      <w:r>
        <w:t xml:space="preserve">Consistency of cross-references, figure numbers and captions</w:t>
      </w:r>
    </w:p>
    <w:p>
      <w:pPr>
        <w:pStyle w:val="ListParagraph"/>
        <w:numPr>
          <w:ilvl w:val="0"/>
          <w:numId w:val="1"/>
        </w:numPr>
      </w:pPr>
      <w:r>
        <w:t xml:space="preserve">Table alignment and column heads, flagged, not reset</w:t>
      </w:r>
    </w:p>
    <w:p>
      <w:pPr>
        <w:pStyle w:val="ListParagraph"/>
        <w:numPr>
          <w:ilvl w:val="0"/>
          <w:numId w:val="1"/>
        </w:numPr>
      </w:pPr>
      <w:r>
        <w:t xml:space="preserve">A marked-up copy with every change visible, plus a clean copy</w:t>
      </w:r>
    </w:p>
    <w:p>
      <w:r>
        <w:t xml:space="preserve">The edit does not cover rewriting for style, fact-checking, or</w:t>
      </w:r>
      <w:r>
        <w:t xml:space="preserve"> </w:t>
      </w:r>
      <w:r>
        <w:t xml:space="preserve">permissions clearance for quoted material. Where a sentence is</w:t>
      </w:r>
      <w:r>
        <w:t xml:space="preserve"> </w:t>
      </w:r>
      <w:r>
        <w:t xml:space="preserve">grammatical but ambiguous, Jandira flags it in a margin note instead</w:t>
      </w:r>
      <w:r>
        <w:t xml:space="preserve"> </w:t>
      </w:r>
      <w:r>
        <w:t xml:space="preserve">of choosing a reading on the Publisher's behalf.</w:t>
      </w:r>
    </w:p>
    <w:p>
      <w:pPr>
        <w:pStyle w:val="Heading2"/>
      </w:pPr>
      <w:r>
        <w:t xml:space="preserve">3.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Issue</w:t>
            </w:r>
          </w:p>
        </w:tc>
        <w:tc>
          <w:tcPr>
            <w:tcW w:w="3120" w:type="dxa"/>
          </w:tcPr>
          <w:p>
            <w:r>
              <w:t xml:space="preserve">Manuscript due</w:t>
            </w:r>
          </w:p>
        </w:tc>
        <w:tc>
          <w:tcPr>
            <w:tcW w:w="3120" w:type="dxa"/>
          </w:tcPr>
          <w:p>
            <w:r>
              <w:t xml:space="preserve">Marked copy due</w:t>
            </w:r>
          </w:p>
        </w:tc>
      </w:tr>
      <w:tr>
        <w:tc>
          <w:tcPr>
            <w:tcW w:w="3120" w:type="dxa"/>
          </w:tcPr>
          <w:p>
            <w:r>
              <w:t xml:space="preserve">41</w:t>
            </w:r>
          </w:p>
        </w:tc>
        <w:tc>
          <w:tcPr>
            <w:tcW w:w="3120" w:type="dxa"/>
          </w:tcPr>
          <w:p>
            <w:r>
              <w:t xml:space="preserve">3 March</w:t>
            </w:r>
          </w:p>
        </w:tc>
        <w:tc>
          <w:tcPr>
            <w:tcW w:w="3120" w:type="dxa"/>
          </w:tcPr>
          <w:p>
            <w:r>
              <w:t xml:space="preserve">17 March</w:t>
            </w:r>
          </w:p>
        </w:tc>
      </w:tr>
      <w:tr>
        <w:tc>
          <w:tcPr>
            <w:tcW w:w="3120" w:type="dxa"/>
          </w:tcPr>
          <w:p>
            <w:r>
              <w:t xml:space="preserve">42</w:t>
            </w:r>
          </w:p>
        </w:tc>
        <w:tc>
          <w:tcPr>
            <w:tcW w:w="3120" w:type="dxa"/>
          </w:tcPr>
          <w:p>
            <w:r>
              <w:t xml:space="preserve">2 June</w:t>
            </w:r>
          </w:p>
        </w:tc>
        <w:tc>
          <w:tcPr>
            <w:tcW w:w="3120" w:type="dxa"/>
          </w:tcPr>
          <w:p>
            <w:r>
              <w:t xml:space="preserve">16 June</w:t>
            </w:r>
          </w:p>
        </w:tc>
      </w:tr>
      <w:tr>
        <w:tc>
          <w:tcPr>
            <w:tcW w:w="3120" w:type="dxa"/>
          </w:tcPr>
          <w:p>
            <w:r>
              <w:t xml:space="preserve">43</w:t>
            </w:r>
          </w:p>
        </w:tc>
        <w:tc>
          <w:tcPr>
            <w:tcW w:w="3120" w:type="dxa"/>
          </w:tcPr>
          <w:p>
            <w:r>
              <w:t xml:space="preserve">8 September</w:t>
            </w:r>
          </w:p>
        </w:tc>
        <w:tc>
          <w:tcPr>
            <w:tcW w:w="3120" w:type="dxa"/>
          </w:tcPr>
          <w:p>
            <w:r>
              <w:t xml:space="preserve">22 September</w:t>
            </w:r>
          </w:p>
        </w:tc>
      </w:tr>
      <w:tr>
        <w:tc>
          <w:tcPr>
            <w:tcW w:w="3120" w:type="dxa"/>
          </w:tcPr>
          <w:p>
            <w:r>
              <w:t xml:space="preserve">44</w:t>
            </w:r>
          </w:p>
        </w:tc>
        <w:tc>
          <w:tcPr>
            <w:tcW w:w="3120" w:type="dxa"/>
          </w:tcPr>
          <w:p>
            <w:r>
              <w:t xml:space="preserve">1 December</w:t>
            </w:r>
          </w:p>
        </w:tc>
        <w:tc>
          <w:tcPr>
            <w:tcW w:w="3120" w:type="dxa"/>
          </w:tcPr>
          <w:p>
            <w:r>
              <w:t xml:space="preserve">15 December</w:t>
            </w:r>
          </w:p>
        </w:tc>
      </w:tr>
    </w:tbl>
    <w:p>
      <w:r>
        <w:t xml:space="preserve">Dates shift only by written agreement. A manuscript that arrives late</w:t>
      </w:r>
      <w:r>
        <w:t xml:space="preserve"> </w:t>
      </w:r>
      <w:r>
        <w:t xml:space="preserve">moves its marked copy by the same number of working days.</w:t>
      </w:r>
    </w:p>
    <w:p>
      <w:pPr>
        <w:pStyle w:val="Heading2"/>
      </w:pPr>
      <w:r>
        <w:t xml:space="preserve">4. Fee</w:t>
      </w:r>
    </w:p>
    <w:p>
      <w:r>
        <w:t xml:space="preserve">The fee is 2,400.00 USD per issue, invoiced on delivery of the marked</w:t>
      </w:r>
      <w:r>
        <w:t xml:space="preserve"> </w:t>
      </w:r>
      <w:r>
        <w:t xml:space="preserve">copy and due net 30. An issue that runs more than ten percent over the</w:t>
      </w:r>
      <w:r>
        <w:t xml:space="preserve"> </w:t>
      </w:r>
      <w:r>
        <w:t xml:space="preserve">agreed length is quoted separately before work begins, not after.</w:t>
      </w:r>
    </w:p>
    <w:p>
      <w:pPr>
        <w:pStyle w:val="Heading2"/>
      </w:pPr>
      <w:r>
        <w:t xml:space="preserve">5. Review and acceptance</w:t>
      </w:r>
    </w:p>
    <w:p>
      <w:r>
        <w:t xml:space="preserve">The Publisher reviews each marked copy within five working days and</w:t>
      </w:r>
      <w:r>
        <w:t xml:space="preserve"> </w:t>
      </w:r>
      <w:r>
        <w:t xml:space="preserve">returns either an acceptance or a written list of objections. Jandira</w:t>
      </w:r>
      <w:r>
        <w:t xml:space="preserve"> </w:t>
      </w:r>
      <w:r>
        <w:t xml:space="preserve">answers one round of objections per issue without further charge; a</w:t>
      </w:r>
      <w:r>
        <w:t xml:space="preserve"> </w:t>
      </w:r>
      <w:r>
        <w:t xml:space="preserve">second round is quoted at 180.00 USD per hour before it begins.</w:t>
      </w:r>
      <w:r>
        <w:t xml:space="preserve"> </w:t>
      </w:r>
      <w:r>
        <w:t xml:space="preserve">Objections left unanswered for a further five working days are treated</w:t>
      </w:r>
      <w:r>
        <w:t xml:space="preserve"> </w:t>
      </w:r>
      <w:r>
        <w:t xml:space="preserve">as accepted, and the issue moves to the payment stage.</w:t>
      </w:r>
    </w:p>
    <w:p>
      <w:r>
        <w:t xml:space="preserve">A marked copy that is never reviewed at all follows the same clock: it</w:t>
      </w:r>
      <w:r>
        <w:t xml:space="preserve"> </w:t>
      </w:r>
      <w:r>
        <w:t xml:space="preserve">is accepted in full when the review window and the objection window</w:t>
      </w:r>
      <w:r>
        <w:t xml:space="preserve"> </w:t>
      </w:r>
      <w:r>
        <w:t xml:space="preserve">have both run out, and the invoice is issued on that date.</w:t>
      </w:r>
    </w:p>
    <w:p>
      <w:pPr>
        <w:pStyle w:val="Heading2"/>
      </w:pPr>
      <w:r>
        <w:t xml:space="preserve">6. Rights and confidentiality</w:t>
      </w:r>
    </w:p>
    <w:p>
      <w:r>
        <w:t xml:space="preserve">Jandira keeps the manuscripts in confidence and gains no rights in</w:t>
      </w:r>
      <w:r>
        <w:t xml:space="preserve"> </w:t>
      </w:r>
      <w:r>
        <w:t xml:space="preserve">them; upon payment, all editorial suggestions belong to the Publisher.</w:t>
      </w:r>
      <w:r>
        <w:t xml:space="preserve"> </w:t>
      </w:r>
      <w:r>
        <w:t xml:space="preserve">Either party may end this letter for convenience on fourteen days'</w:t>
      </w:r>
      <w:r>
        <w:t xml:space="preserve"> </w:t>
      </w:r>
      <w:r>
        <w:t xml:space="preserve">written notice, with work completed to that date invoiced at the</w:t>
      </w:r>
      <w:r>
        <w:t xml:space="preserve"> </w:t>
      </w:r>
      <w:r>
        <w:t xml:space="preserve">per-issue rate. This letter is governed by the laws of Portugal.</w:t>
      </w:r>
    </w:p>
    <w:p>
      <w:r>
        <w:rPr>
          <w:i/>
          <w:iCs/>
        </w:rPr>
        <w:t xml:space="preserve">For Jandira Technologies, LLC</w:t>
      </w:r>
      <w:r>
        <w:t xml:space="preserve"> — </w:t>
      </w:r>
      <w:r>
        <w:rPr>
          <w:i/>
          <w:iCs/>
        </w:rPr>
        <w:t xml:space="preserve">For the Cortado Review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