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Consulting Agreement — Summary</w:t>
      </w:r>
    </w:p>
    <w:p>
      <w:r>
        <w:t xml:space="preserve">Prepared for Northwind Traders Ltd. by Jandira Technologies, LLC.</w:t>
      </w:r>
      <w:r>
        <w:t xml:space="preserve"> </w:t>
      </w:r>
      <w:r>
        <w:t xml:space="preserve">This letter summarizes the engagement agreed on 12 January 2026.</w:t>
      </w:r>
    </w:p>
    <w:p>
      <w:pPr>
        <w:pStyle w:val="Heading2"/>
      </w:pPr>
      <w:r>
        <w:t xml:space="preserve">Scope of work</w:t>
      </w:r>
    </w:p>
    <w:p>
      <w:r>
        <w:t xml:space="preserve">Jandira will redesign the invoicing workflow and deliver documentation</w:t>
      </w:r>
      <w:r>
        <w:t xml:space="preserve"> </w:t>
      </w:r>
      <w:r>
        <w:t xml:space="preserve">and training for the accounts team.</w:t>
      </w:r>
    </w:p>
    <w:p>
      <w:pPr>
        <w:pStyle w:val="ListParagraph"/>
        <w:numPr>
          <w:ilvl w:val="0"/>
          <w:numId w:val="1"/>
        </w:numPr>
      </w:pPr>
      <w:r>
        <w:t xml:space="preserve">Audit the current invoice flow and tooling</w:t>
      </w:r>
    </w:p>
    <w:p>
      <w:pPr>
        <w:pStyle w:val="ListParagraph"/>
        <w:numPr>
          <w:ilvl w:val="0"/>
          <w:numId w:val="1"/>
        </w:numPr>
      </w:pPr>
      <w:r>
        <w:t xml:space="preserve">Implement the new template set in the accounting system</w:t>
      </w:r>
    </w:p>
    <w:p>
      <w:pPr>
        <w:pStyle w:val="ListParagraph"/>
        <w:numPr>
          <w:ilvl w:val="0"/>
          <w:numId w:val="1"/>
        </w:numPr>
      </w:pPr>
      <w:r>
        <w:t xml:space="preserve">Train the accounts team and hand over runbooks</w:t>
      </w:r>
    </w:p>
    <w:p>
      <w:pPr>
        <w:pStyle w:val="Heading2"/>
      </w:pPr>
      <w:r>
        <w:t xml:space="preserve">Milestones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Milestone</w:t>
            </w:r>
          </w:p>
        </w:tc>
        <w:tc>
          <w:tcPr>
            <w:tcW w:w="3120" w:type="dxa"/>
          </w:tcPr>
          <w:p>
            <w:r>
              <w:t xml:space="preserve">Week</w:t>
            </w:r>
          </w:p>
        </w:tc>
        <w:tc>
          <w:tcPr>
            <w:tcW w:w="3120" w:type="dxa"/>
          </w:tcPr>
          <w:p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r>
              <w:t xml:space="preserve">Kickoff and audit plan</w:t>
            </w:r>
          </w:p>
        </w:tc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Jandira</w:t>
            </w:r>
          </w:p>
        </w:tc>
      </w:tr>
      <w:tr>
        <w:tc>
          <w:tcPr>
            <w:tcW w:w="3120" w:type="dxa"/>
          </w:tcPr>
          <w:p>
            <w:r>
              <w:t xml:space="preserve">Template implementation</w:t>
            </w:r>
          </w:p>
        </w:tc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Jandira</w:t>
            </w:r>
          </w:p>
        </w:tc>
      </w:tr>
      <w:tr>
        <w:tc>
          <w:tcPr>
            <w:tcW w:w="3120" w:type="dxa"/>
          </w:tcPr>
          <w:p>
            <w:r>
              <w:t xml:space="preserve">Training and handover</w:t>
            </w:r>
          </w:p>
        </w:tc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Northwind</w:t>
            </w:r>
          </w:p>
        </w:tc>
      </w:tr>
    </w:tbl>
    <w:p>
      <w:pPr>
        <w:pStyle w:val="Heading2"/>
      </w:pPr>
      <w:r>
        <w:t xml:space="preserve">Terms</w:t>
      </w:r>
    </w:p>
    <w:p>
      <w:r>
        <w:t xml:space="preserve">Invoices are payable within fifteen days of receipt. Either party may</w:t>
      </w:r>
      <w:r>
        <w:t xml:space="preserve"> </w:t>
      </w:r>
      <w:r>
        <w:t xml:space="preserve">end the engagement with two weeks' written notice.</w:t>
      </w:r>
    </w:p>
    <w:p>
      <w:pPr>
        <w:pStyle w:val="ListParagraph"/>
        <w:numPr>
          <w:ilvl w:val="0"/>
          <w:numId w:val="2"/>
        </w:numPr>
      </w:pPr>
      <w:r>
        <w:t xml:space="preserve">Work is billed weekly in arrears</w:t>
      </w:r>
    </w:p>
    <w:p>
      <w:pPr>
        <w:pStyle w:val="ListParagraph"/>
        <w:numPr>
          <w:ilvl w:val="0"/>
          <w:numId w:val="2"/>
        </w:numPr>
      </w:pPr>
      <w:r>
        <w:t xml:space="preserve">Expenses are pre-approved in writing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