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</w:pPr>
            <w:r>
              <w:t>Two</w:t>
            </w:r>
            <w:r>
              <w:t>.</w:t>
            </w:r>
          </w:p>
          <w:p>
            <w:pPr>
              <w:jc w:val="both"/>
              <w:rPr>
                <w:i/>
              </w:rPr>
            </w:pPr>
            <w:r>
              <w:t>One.</w:t>
            </w:r>
          </w:p>
          <w:p>
            <w:pPr>
              <w:jc w:val="left"/>
            </w:pPr>
            <w:r>
              <w:t>Two.</w:t>
            </w:r>
          </w:p>
          <w:p>
            <w:pPr>
              <w:jc w:val="center"/>
            </w:pPr>
            <w:r>
              <w:t>Alpha 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