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both"/>
              <w:rPr>
                <w:b/>
              </w:rPr>
            </w:pPr>
            <w:r>
              <w:t>Four.</w:t>
            </w:r>
          </w:p>
          <w:p>
            <w:pPr xmlns:w="http://schemas.openxmlformats.org/wordprocessingml/2006/main">
              <w:jc w:val="center"/>
              <w:rPr>
                <w:b/>
              </w:rPr>
            </w:pPr>
            <w:r>
              <w:t>One.</w:t>
            </w:r>
          </w:p>
          <w:p>
            <w:pPr xmlns:w="http://schemas.openxmlformats.org/wordprocessingml/2006/main">
              <w:jc w:val="right"/>
              <w:rPr>
                <w:b/>
              </w:rPr>
            </w:pPr>
            <w:r>
              <w:t>Two.</w:t>
            </w:r>
          </w:p>
          <w:p>
            <w:pPr>
              <w:jc w:val="center"/>
              <w:rPr>
                <w:i/>
              </w:rPr>
            </w:pPr>
            <w:r>
              <w:t>Three.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