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Alpha beta.</w:t>
            </w:r>
          </w:p>
          <w:p>
            <w:pPr>
              <w:jc w:val="left"/>
              <w:rPr>
                <w:i/>
              </w:rPr>
            </w:pPr>
            <w:r>
              <w:t>One.</w:t>
            </w:r>
          </w:p>
          <w:p>
            <w:pPr>
              <w:jc w:val="both"/>
              <w:rPr>
                <w:i/>
              </w:rPr>
            </w:pPr>
            <w:r>
              <w:t>Four.</w:t>
            </w:r>
          </w:p>
          <w:p>
            <w:pPr>
              <w:jc w:val="right"/>
              <w:rPr>
                <w:sz w:val="32"/>
              </w:rPr>
            </w:pPr>
            <w:r>
              <w:t>Alpha 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