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both"/>
                  <w:rPr>
                    <w:i/>
                  </w:rPr>
                </w:pPr>
                <w:r>
                  <w:t xml:space="preserve">Two.</w:t>
                </w:r>
              </w:p>
            </w:sdtContent>
          </w:sdt>
          <w:sdt>
            <w:sdtPr/>
            <w:sdtContent>
              <w:p>
                <w:pPr>
                  <w:jc w:val="center"/>
                  <w:rPr>
                    <w:b/>
                  </w:rPr>
                </w:pPr>
                <w:r>
                  <w:t xml:space="preserve">Two.</w:t>
                </w:r>
              </w:p>
              <w:p>
                <w:pPr>
                  <w:jc w:val="left"/>
                  <w:rPr>
                    <w:sz w:val="32"/>
                  </w:rPr>
                </w:pPr>
                <w:r>
                  <w:t xml:space="preserve">One.</w:t>
                </w:r>
              </w:p>
              <w:p>
                <w:pPr>
                  <w:jc w:val="right"/>
                  <w:rPr>
                    <w:i/>
                  </w:rPr>
                </w:pPr>
                <w:r>
                  <w:t xml:space="preserve">Alpha gamma.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