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b/>
                  </w:rPr>
                </w:pPr>
                <w:r>
                  <w:t>One</w:t>
                </w:r>
                <w:r>
                  <w:t>.</w:t>
                </w:r>
              </w:p>
              <w:p>
                <w:pPr xmlns:w="http://schemas.openxmlformats.org/wordprocessingml/2006/main">
                  <w:jc w:val="both"/>
                  <w:rPr>
                    <w:b/>
                  </w:rPr>
                </w:pPr>
                <w:r>
                  <w:t>Three.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b/>
                  </w:rPr>
                </w:pPr>
                <w:r>
                  <w:t>One.</w:t>
                </w:r>
              </w:p>
            </w:sdtContent>
          </w:sdt>
          <w:sdt>
            <w:sdtPr/>
            <w:sdtContent>
              <w:p>
                <w:pPr xmlns:w="http://schemas.openxmlformats.org/wordprocessingml/2006/main">
                  <w:jc w:val="right"/>
                  <w:rPr xmlns:w="http://schemas.openxmlformats.org/wordprocessingml/2006/main">
                    <w:i/>
                  </w:rPr>
                </w:pPr>
                <w:r>
                  <w:t>Alpha gamma.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