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both"/>
            </w:pPr>
            <w:r>
              <w:t>One.</w:t>
            </w:r>
          </w:p>
          <w:p>
            <w:pPr>
              <w:jc w:val="center"/>
              <w:rPr>
                <w:sz w:val="32"/>
              </w:rPr>
            </w:pPr>
            <w:r>
              <w:t>Epsilon zeta eta theta.</w:t>
            </w:r>
          </w:p>
          <w:p>
            <w:pPr>
              <w:jc w:val="right"/>
              <w:rPr>
                <w:i/>
              </w:rPr>
            </w:pPr>
            <w:r>
              <w:t>Epsilon zeta eta theta.</w:t>
            </w:r>
          </w:p>
          <w:p>
            <w:pPr>
              <w:jc w:val="both"/>
              <w:rPr>
                <w:i/>
              </w:rPr>
            </w:pPr>
            <w:r>
              <w:t>Epsilon zeta eta theta.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