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Body.</w:t>
      </w:r>
    </w:p>
    <w:sectPr>
      <w:headerReference w:type="default" r:id="rIdH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>
  <w:p>
    <w:r>
      <w:t xml:space="preserve"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r>
            <w:t xml:space="preserve">Fixed.</w:t>
          </w:r>
        </w:p>
      </w:tc>
      <w:tc>
        <w:tcPr>
          <w:tcW w:w="2000" w:type="dxa"/>
        </w:tcPr>
        <w:p>
          <w:r>
            <w:t xml:space="preserve">Old.</w:t>
          </w:r>
        </w:p>
      </w:tc>
    </w:tr>
  </w:tbl>
  <w:p>
    <w:r>
      <w:t xml:space="preserve">After.</w:t>
    </w:r>
  </w:p>
</w:hdr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