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6"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7" w:name="_9kMJI5YVt895679"/>
      <w:r>
        <w:rPr>
          <w:rFonts w:ascii="Arial" w:eastAsia="Arial" w:hAnsi="Arial" w:cs="Arial"/>
          <w:kern w:val="20"/>
          <w:highlight w:val="yellow"/>
        </w:rPr>
        <w:t>●</w:t>
      </w:r>
      <w:bookmarkEnd w:id="7"/>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w:t>
      </w:r>
      <w:r>
        <w:rPr>
          <w:rFonts w:ascii="Arial" w:eastAsia="Arial" w:hAnsi="Arial" w:cs="Arial"/>
          <w:kern w:val="20"/>
        </w:rPr>
        <w:t>,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w:t>
      </w:r>
      <w:r>
        <w:rPr>
          <w:rFonts w:ascii="Arial" w:eastAsia="Arial" w:hAnsi="Arial" w:cs="Arial"/>
          <w:color w:val="000000"/>
          <w:kern w:val="20"/>
        </w:rPr>
        <w:t>any and all</w:t>
      </w:r>
      <w:r>
        <w:rPr>
          <w:rFonts w:ascii="Arial" w:eastAsia="Arial" w:hAnsi="Arial" w:cs="Arial"/>
          <w:color w:val="000000"/>
          <w:kern w:val="20"/>
        </w:rPr>
        <w:t xml:space="preserve">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del w:author="Ana Lee" w:id="1" w:date="2026-01-02T03:04:05Z"/>
          <w:rFonts w:ascii="Arial" w:eastAsia="Arial" w:hAnsi="Arial" w:cs="Arial"/>
          <w:color w:val="000000"/>
          <w:kern w:val="20"/>
        </w:rPr>
      </w:pPr>
      <w:ins w:author="Ana Lee" w:id="3" w:date="2026-01-02T03:04:05Z">
        <w:r>
          <w:rPr>
            <w:rFonts w:ascii="Arial" w:eastAsia="Arial" w:hAnsi="Arial" w:cs="Arial"/>
            <w:color w:val="000000"/>
            <w:kern w:val="20"/>
          </w:rPr>
          <w:t>“</w:t>
        </w:r>
      </w:ins>
      <w:del w:author="Ana Lee" w:id="2" w:date="2026-01-02T03:04:05Z">
        <w:r>
          <w:rPr>
            <w:rFonts w:ascii="Arial" w:eastAsia="Arial" w:hAnsi="Arial" w:cs="Arial"/>
            <w:color w:val="000000"/>
            <w:kern w:val="20"/>
          </w:rPr>
          <w:delText>“</w:delText>
        </w:r>
        <w:r>
          <w:rPr>
            <w:rFonts w:ascii="Arial" w:eastAsia="Arial" w:hAnsi="Arial" w:cs="Arial"/>
            <w:b/>
            <w:color w:val="000000"/>
            <w:kern w:val="20"/>
          </w:rPr>
          <w:delText>Feedback</w:delText>
        </w:r>
        <w:r>
          <w:rPr>
            <w:rFonts w:ascii="Arial" w:eastAsia="Arial" w:hAnsi="Arial" w:cs="Arial"/>
            <w:color w:val="000000"/>
            <w:kern w:val="20"/>
          </w:rPr>
          <w:delText xml:space="preserve">” means any suggestions, ideas, enhancement requests, feedback, recommendations, or other information provided by </w:delText>
        </w:r>
        <w:r>
          <w:rPr>
            <w:rFonts w:ascii="Arial" w:eastAsia="Arial" w:hAnsi="Arial" w:cs="Arial"/>
            <w:color w:val="000000"/>
            <w:kern w:val="20"/>
          </w:rPr>
          <w:delText>LargeCo</w:delText>
        </w:r>
      </w:del>
      <w:del w:author="Ana Lee" w:id="4" w:date="2026-01-02T03:04:05Z">
        <w:r>
          <w:rPr>
            <w:rFonts w:ascii="Arial" w:eastAsia="Arial" w:hAnsi="Arial" w:cs="Arial"/>
            <w:color w:val="000000"/>
            <w:kern w:val="20"/>
          </w:rPr>
          <w:delText xml:space="preserve"> with respect to Provider and/or all or any part of the Services.</w:delText>
        </w:r>
      </w:del>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author="Ana Lee" w:id="5" w:date="2026-01-02T03:04:05Z">
        <w:r>
          <w:rPr>
            <w:rFonts w:ascii="Arial" w:eastAsia="Arial" w:hAnsi="Arial" w:cs="Arial"/>
            <w:color w:val="000000"/>
            <w:kern w:val="20"/>
          </w:rPr>
          <w:delText>“</w:delText>
        </w:r>
      </w:del>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t xml:space="preserve">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8"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w:t>
      </w:r>
      <w:r>
        <w:rPr>
          <w:rFonts w:ascii="Arial" w:hAnsi="Arial" w:cs="Arial"/>
        </w:rPr>
        <w:t>i</w:t>
      </w:r>
      <w:r>
        <w:rPr>
          <w:rFonts w:ascii="Arial" w:hAnsi="Arial" w:cs="Arial"/>
        </w:rPr>
        <w:t>)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xml:space="preserve">” means services, products, data, writings, works of authorship, graphics, pictures, recordings, any electronic or other information, text or numerals, </w:t>
      </w:r>
      <w:r>
        <w:rPr>
          <w:rFonts w:ascii="Arial" w:hAnsi="Arial" w:cs="Arial"/>
        </w:rPr>
        <w:t>audio or visual content, or materials of any nature or description generated or derived by Provider, from or through the AI Technology and/or AI Inputs</w:t>
      </w:r>
      <w:r>
        <w:rPr>
          <w:rFonts w:ascii="Arial" w:hAnsi="Arial" w:cs="Arial"/>
        </w:rPr>
        <w:t>.</w:t>
      </w:r>
    </w:p>
    <w:p w14:paraId="0B886A7D"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’s</w:t>
      </w:r>
      <w:r>
        <w:rPr>
          <w:rFonts w:ascii="Arial" w:hAnsi="Arial" w:cs="Arial"/>
        </w:rPr>
        <w:t xml:space="preserve"> Intellectual Property and Confidential Information. Accordingly, Provider shall not (</w:t>
      </w:r>
      <w:r>
        <w:rPr>
          <w:rFonts w:ascii="Arial" w:hAnsi="Arial" w:cs="Arial"/>
        </w:rPr>
        <w:t>i</w:t>
      </w:r>
      <w:r>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w:t>
      </w:r>
      <w:r>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9"/>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0"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0"/>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1"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’s</w:t>
      </w:r>
      <w:r>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1"/>
      <w:r>
        <w:rPr>
          <w:rFonts w:ascii="Arial" w:hAnsi="Arial" w:cs="Arial"/>
        </w:rPr>
        <w:t>.</w:t>
      </w:r>
    </w:p>
    <w:p w14:paraId="0F9DE45C"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In addition to any other representation and warranties set forth herein, Provider represents and warrants that Provider’s services and/or the AI Technology: (</w:t>
      </w:r>
      <w:r>
        <w:rPr>
          <w:rFonts w:ascii="Arial" w:hAnsi="Arial" w:cs="Arial"/>
        </w:rPr>
        <w:t>i</w:t>
      </w:r>
      <w:r>
        <w:rPr>
          <w:rFonts w:ascii="Arial" w:hAnsi="Arial" w:cs="Arial"/>
        </w:rPr>
        <w:t xml:space="preserve">)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2"/>
      <w:r>
        <w:rPr>
          <w:rFonts w:ascii="Arial" w:hAnsi="Arial" w:cs="Arial"/>
        </w:rPr>
        <w:t>.</w:t>
      </w:r>
      <w:r>
        <w:rPr>
          <w:rFonts w:ascii="Arial" w:eastAsia="Arial" w:hAnsi="Arial" w:cs="Arial"/>
          <w:kern w:val="20"/>
        </w:rPr>
        <w:t xml:space="preserve"> </w:t>
      </w:r>
      <w:bookmarkEnd w:id="8"/>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r>
        <w:rPr>
          <w:rFonts w:ascii="Arial" w:eastAsia="Arial" w:hAnsi="Arial" w:cs="Arial"/>
          <w:kern w:val="20"/>
        </w:rPr>
        <w:t>LargeCo</w:t>
      </w:r>
      <w:r>
        <w:rPr>
          <w:rFonts w:ascii="Arial" w:eastAsia="Arial" w:hAnsi="Arial" w:cs="Arial"/>
          <w:kern w:val="20"/>
        </w:rPr>
        <w:t xml:space="preserve">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w:t>
      </w:r>
      <w:r>
        <w:rPr>
          <w:rFonts w:ascii="Arial" w:eastAsia="Roboto" w:hAnsi="Arial" w:cs="Arial"/>
          <w:kern w:val="20"/>
        </w:rPr>
        <w:t>period of time</w:t>
      </w:r>
      <w:r>
        <w:rPr>
          <w:rFonts w:ascii="Arial" w:eastAsia="Roboto" w:hAnsi="Arial" w:cs="Arial"/>
          <w:kern w:val="20"/>
        </w:rPr>
        <w:t xml:space="preserv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w:t>
      </w:r>
      <w:r>
        <w:rPr>
          <w:rFonts w:ascii="Arial" w:eastAsia="Roboto" w:hAnsi="Arial" w:cs="Arial"/>
          <w:kern w:val="20"/>
        </w:rPr>
        <w:t>user names</w:t>
      </w:r>
      <w:r>
        <w:rPr>
          <w:rFonts w:ascii="Arial" w:eastAsia="Roboto" w:hAnsi="Arial" w:cs="Arial"/>
          <w:kern w:val="20"/>
        </w:rPr>
        <w:t xml:space="preserve">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w:t>
      </w:r>
      <w:r>
        <w:rPr>
          <w:rFonts w:ascii="Arial" w:eastAsia="Arial" w:hAnsi="Arial" w:cs="Arial"/>
          <w:kern w:val="20"/>
          <w:u w:val="single"/>
        </w:rPr>
        <w:t xml:space="preserve">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Provider shall promptly remove the applicable individual from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and replace the person with another qualified individual acceptable to </w:t>
      </w:r>
      <w:r>
        <w:rPr>
          <w:rFonts w:ascii="Arial" w:eastAsia="Arial" w:hAnsi="Arial" w:cs="Arial"/>
          <w:kern w:val="20"/>
        </w:rPr>
        <w:t>LargeCo</w:t>
      </w:r>
      <w:r>
        <w:rPr>
          <w:rFonts w:ascii="Arial" w:eastAsia="Arial" w:hAnsi="Arial" w:cs="Arial"/>
          <w:kern w:val="20"/>
        </w:rPr>
        <w:t xml:space="preserve">. Notwithstanding the foregoing, Provider has sole discretion </w:t>
      </w:r>
      <w:r>
        <w:rPr>
          <w:rFonts w:ascii="Arial" w:eastAsia="Arial" w:hAnsi="Arial" w:cs="Arial"/>
          <w:kern w:val="20"/>
        </w:rPr>
        <w:t>whether or not</w:t>
      </w:r>
      <w:r>
        <w:rPr>
          <w:rFonts w:ascii="Arial" w:eastAsia="Arial" w:hAnsi="Arial" w:cs="Arial"/>
          <w:kern w:val="20"/>
        </w:rPr>
        <w:t xml:space="preserve">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Provider hereby grants to </w:t>
      </w:r>
      <w:r>
        <w:rPr>
          <w:rFonts w:ascii="Arial" w:eastAsia="Arial" w:hAnsi="Arial" w:cs="Arial"/>
          <w:kern w:val="20"/>
          <w:u w:val="single"/>
        </w:rPr>
        <w:t>LargeCo</w:t>
      </w:r>
      <w:r>
        <w:rPr>
          <w:rFonts w:ascii="Arial" w:eastAsia="Arial" w:hAnsi="Arial" w:cs="Arial"/>
          <w:kern w:val="20"/>
          <w:u w:val="single"/>
        </w:rPr>
        <w:t xml:space="preserve">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LargeCo</w:t>
      </w:r>
      <w:r>
        <w:rPr>
          <w:rFonts w:ascii="Arial" w:eastAsia="Arial" w:hAnsi="Arial" w:cs="Arial"/>
          <w:kern w:val="20"/>
          <w:u w:val="single"/>
        </w:rPr>
        <w:t xml:space="preserve"> retains all intellectual property rights in any Feedback it provides regarding any portion of the Services. </w:t>
      </w:r>
      <w:r>
        <w:rPr>
          <w:rFonts w:ascii="Arial" w:eastAsia="Arial" w:hAnsi="Arial" w:cs="Arial"/>
          <w:kern w:val="20"/>
          <w:u w:val="single"/>
        </w:rPr>
        <w:t>LargeCo</w:t>
      </w:r>
      <w:r>
        <w:rPr>
          <w:rFonts w:ascii="Arial" w:eastAsia="Arial" w:hAnsi="Arial" w:cs="Arial"/>
          <w:kern w:val="20"/>
          <w:u w:val="single"/>
        </w:rPr>
        <w:t xml:space="preserve"> grants Provider a worldwide, non-exclusive, perpetual, royalty-free right to use and disclose such Feedback in connection with the Services, </w:t>
      </w:r>
      <w:r>
        <w:rPr>
          <w:rFonts w:ascii="Arial" w:eastAsia="Arial" w:hAnsi="Arial" w:cs="Arial"/>
          <w:kern w:val="20"/>
          <w:u w:val="single"/>
        </w:rPr>
        <w:t>provided that</w:t>
      </w:r>
      <w:r>
        <w:rPr>
          <w:rFonts w:ascii="Arial" w:eastAsia="Arial" w:hAnsi="Arial" w:cs="Arial"/>
          <w:kern w:val="20"/>
          <w:u w:val="single"/>
        </w:rPr>
        <w:t xml:space="preserve"> Provider may not use the Feedback in a manner that identifies </w:t>
      </w:r>
      <w:r>
        <w:rPr>
          <w:rFonts w:ascii="Arial" w:eastAsia="Arial" w:hAnsi="Arial" w:cs="Arial"/>
          <w:kern w:val="20"/>
          <w:u w:val="single"/>
        </w:rPr>
        <w:t>LargeCo</w:t>
      </w:r>
      <w:r>
        <w:rPr>
          <w:rFonts w:ascii="Arial" w:eastAsia="Arial" w:hAnsi="Arial" w:cs="Arial"/>
          <w:kern w:val="20"/>
          <w:u w:val="single"/>
        </w:rPr>
        <w:t xml:space="preserve"> as its source. All Feedback is provided on an “as is” basis, without warranty or indemnity of any kind.</w:t>
      </w:r>
    </w:p>
    <w:p w14:paraId="20A7CBC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w:t>
      </w:r>
      <w:r>
        <w:rPr>
          <w:rFonts w:ascii="Arial" w:eastAsia="Arial" w:hAnsi="Arial" w:cs="Arial"/>
          <w:color w:val="000000"/>
          <w:kern w:val="20"/>
          <w:u w:val="single"/>
        </w:rPr>
        <w:t xml:space="preserve"> Data License and Intellectual Property Rights. During the Term, </w:t>
      </w:r>
      <w:r>
        <w:rPr>
          <w:rFonts w:ascii="Arial" w:eastAsia="Arial" w:hAnsi="Arial" w:cs="Arial"/>
          <w:color w:val="000000"/>
          <w:kern w:val="20"/>
          <w:u w:val="single"/>
        </w:rPr>
        <w:t>LargeCo</w:t>
      </w:r>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r>
        <w:rPr>
          <w:rFonts w:ascii="Arial" w:eastAsia="Arial" w:hAnsi="Arial" w:cs="Arial"/>
          <w:color w:val="000000"/>
          <w:kern w:val="20"/>
          <w:u w:val="single"/>
        </w:rPr>
        <w:t>LargeCo</w:t>
      </w:r>
      <w:r>
        <w:rPr>
          <w:rFonts w:ascii="Arial" w:eastAsia="Arial" w:hAnsi="Arial" w:cs="Arial"/>
          <w:color w:val="000000"/>
          <w:kern w:val="20"/>
          <w:u w:val="single"/>
        </w:rPr>
        <w:t xml:space="preserve">) the </w:t>
      </w:r>
      <w:r>
        <w:rPr>
          <w:rFonts w:ascii="Arial" w:eastAsia="Arial" w:hAnsi="Arial" w:cs="Arial"/>
          <w:color w:val="000000"/>
          <w:kern w:val="20"/>
          <w:u w:val="single"/>
        </w:rPr>
        <w:t>LargeCo</w:t>
      </w:r>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r>
        <w:rPr>
          <w:rFonts w:ascii="Arial" w:eastAsia="Arial" w:hAnsi="Arial" w:cs="Arial"/>
          <w:color w:val="000000"/>
          <w:kern w:val="20"/>
          <w:u w:val="single"/>
        </w:rPr>
        <w:t>LargeCo</w:t>
      </w:r>
      <w:r>
        <w:rPr>
          <w:rFonts w:ascii="Arial" w:eastAsia="Arial" w:hAnsi="Arial" w:cs="Arial"/>
          <w:color w:val="000000"/>
          <w:kern w:val="20"/>
          <w:u w:val="single"/>
        </w:rPr>
        <w:t xml:space="preserve"> and its licensors. All licensed </w:t>
      </w:r>
      <w:r>
        <w:rPr>
          <w:rFonts w:ascii="Arial" w:eastAsia="Arial" w:hAnsi="Arial" w:cs="Arial"/>
          <w:color w:val="000000"/>
          <w:kern w:val="20"/>
          <w:u w:val="single"/>
        </w:rPr>
        <w:t>LargeCo</w:t>
      </w:r>
      <w:r>
        <w:rPr>
          <w:rFonts w:ascii="Arial" w:eastAsia="Arial" w:hAnsi="Arial" w:cs="Arial"/>
          <w:color w:val="000000"/>
          <w:kern w:val="20"/>
          <w:u w:val="single"/>
        </w:rPr>
        <w:t xml:space="preserve"> Data, including without limitation any Derivative Works thereof, shall remain the property of </w:t>
      </w:r>
      <w:r>
        <w:rPr>
          <w:rFonts w:ascii="Arial" w:eastAsia="Arial" w:hAnsi="Arial" w:cs="Arial"/>
          <w:color w:val="000000"/>
          <w:kern w:val="20"/>
          <w:u w:val="single"/>
        </w:rPr>
        <w:t>LargeCo</w:t>
      </w:r>
      <w:r>
        <w:rPr>
          <w:rFonts w:ascii="Arial" w:eastAsia="Arial" w:hAnsi="Arial" w:cs="Arial"/>
          <w:color w:val="000000"/>
          <w:kern w:val="20"/>
          <w:u w:val="single"/>
        </w:rPr>
        <w:t xml:space="preserve"> or the applicable third-party licensor. Except as provided in this Section 5.3, nothing in this Agreement shall be construed to confer on Provider any ownership interest in, or license to, </w:t>
      </w:r>
      <w:r>
        <w:rPr>
          <w:rFonts w:ascii="Arial" w:eastAsia="Arial" w:hAnsi="Arial" w:cs="Arial"/>
          <w:color w:val="000000"/>
          <w:kern w:val="20"/>
          <w:u w:val="single"/>
        </w:rPr>
        <w:t>LargeCo</w:t>
      </w:r>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r>
        <w:rPr>
          <w:rFonts w:ascii="Arial" w:eastAsia="Arial" w:hAnsi="Arial" w:cs="Arial"/>
          <w:color w:val="000000"/>
          <w:kern w:val="20"/>
          <w:u w:val="single"/>
        </w:rPr>
        <w:t>LargeCo</w:t>
      </w:r>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r>
        <w:rPr>
          <w:rFonts w:ascii="Arial" w:eastAsia="Arial" w:hAnsi="Arial" w:cs="Arial"/>
          <w:color w:val="000000"/>
          <w:kern w:val="20"/>
          <w:u w:val="single"/>
        </w:rPr>
        <w:t>LargeCo</w:t>
      </w:r>
      <w:r>
        <w:rPr>
          <w:rFonts w:ascii="Arial" w:eastAsia="Arial" w:hAnsi="Arial" w:cs="Arial"/>
          <w:color w:val="000000"/>
          <w:kern w:val="20"/>
          <w:u w:val="single"/>
        </w:rPr>
        <w:t xml:space="preserve"> (or its designee). On </w:t>
      </w:r>
      <w:r>
        <w:rPr>
          <w:rFonts w:ascii="Arial" w:eastAsia="Arial" w:hAnsi="Arial" w:cs="Arial"/>
          <w:color w:val="000000"/>
          <w:kern w:val="20"/>
          <w:u w:val="single"/>
        </w:rPr>
        <w:t>LargeCo’s</w:t>
      </w:r>
      <w:r>
        <w:rPr>
          <w:rFonts w:ascii="Arial" w:eastAsia="Arial" w:hAnsi="Arial" w:cs="Arial"/>
          <w:color w:val="000000"/>
          <w:kern w:val="20"/>
          <w:u w:val="single"/>
        </w:rPr>
        <w:t xml:space="preserve"> request, and to the extent lawful, Provider shall execute such documents and take such other actions as may be necessary, or as </w:t>
      </w:r>
      <w:r>
        <w:rPr>
          <w:rFonts w:ascii="Arial" w:eastAsia="Arial" w:hAnsi="Arial" w:cs="Arial"/>
          <w:color w:val="000000"/>
          <w:kern w:val="20"/>
          <w:u w:val="single"/>
        </w:rPr>
        <w:t>LargeCo</w:t>
      </w:r>
      <w:r>
        <w:rPr>
          <w:rFonts w:ascii="Arial" w:eastAsia="Arial" w:hAnsi="Arial" w:cs="Arial"/>
          <w:color w:val="000000"/>
          <w:kern w:val="20"/>
          <w:u w:val="single"/>
        </w:rPr>
        <w:t xml:space="preserve">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w:t>
      </w:r>
      <w:r>
        <w:rPr>
          <w:rFonts w:ascii="Arial" w:eastAsia="Arial" w:hAnsi="Arial" w:cs="Arial"/>
          <w:kern w:val="20"/>
          <w:u w:val="single"/>
        </w:rPr>
        <w:t>LargeCo</w:t>
      </w:r>
      <w:r>
        <w:rPr>
          <w:rFonts w:ascii="Arial" w:eastAsia="Arial" w:hAnsi="Arial" w:cs="Arial"/>
          <w:kern w:val="20"/>
          <w:u w:val="single"/>
        </w:rPr>
        <w:t xml:space="preserve"> in connection with the Services, as described in this Agreement and/or the applicable Order Form. As between the Parties, </w:t>
      </w:r>
      <w:r>
        <w:rPr>
          <w:rFonts w:ascii="Arial" w:eastAsia="Arial" w:hAnsi="Arial" w:cs="Arial"/>
          <w:kern w:val="20"/>
          <w:u w:val="single"/>
        </w:rPr>
        <w:t>LargeCo</w:t>
      </w:r>
      <w:r>
        <w:rPr>
          <w:rFonts w:ascii="Arial" w:eastAsia="Arial" w:hAnsi="Arial" w:cs="Arial"/>
          <w:kern w:val="20"/>
          <w:u w:val="single"/>
        </w:rPr>
        <w:t xml:space="preserve">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t>
      </w:r>
      <w:r>
        <w:rPr>
          <w:rFonts w:ascii="Arial" w:eastAsia="Arial" w:hAnsi="Arial" w:cs="Arial"/>
          <w:kern w:val="20"/>
          <w:u w:val="single"/>
        </w:rPr>
        <w:t>LargeCo</w:t>
      </w:r>
      <w:r>
        <w:rPr>
          <w:rFonts w:ascii="Arial" w:eastAsia="Arial" w:hAnsi="Arial" w:cs="Arial"/>
          <w:kern w:val="20"/>
          <w:u w:val="single"/>
        </w:rPr>
        <w:t xml:space="preserve"> (or its designee). On </w:t>
      </w:r>
      <w:r>
        <w:rPr>
          <w:rFonts w:ascii="Arial" w:eastAsia="Arial" w:hAnsi="Arial" w:cs="Arial"/>
          <w:kern w:val="20"/>
          <w:u w:val="single"/>
        </w:rPr>
        <w:t>LargeCo’s</w:t>
      </w:r>
      <w:r>
        <w:rPr>
          <w:rFonts w:ascii="Arial" w:eastAsia="Arial" w:hAnsi="Arial" w:cs="Arial"/>
          <w:kern w:val="20"/>
          <w:u w:val="single"/>
        </w:rPr>
        <w:t xml:space="preserve"> request, and to the extent lawful, Provider shall execute such documents and take such other actions as may be necessary, or as </w:t>
      </w:r>
      <w:r>
        <w:rPr>
          <w:rFonts w:ascii="Arial" w:eastAsia="Arial" w:hAnsi="Arial" w:cs="Arial"/>
          <w:kern w:val="20"/>
          <w:u w:val="single"/>
        </w:rPr>
        <w:t>LargeCo</w:t>
      </w:r>
      <w:r>
        <w:rPr>
          <w:rFonts w:ascii="Arial" w:eastAsia="Arial" w:hAnsi="Arial" w:cs="Arial"/>
          <w:kern w:val="20"/>
          <w:u w:val="single"/>
        </w:rPr>
        <w:t xml:space="preserve"> may reasonably request, to enforce, effectuate, or perfect </w:t>
      </w:r>
      <w:r>
        <w:rPr>
          <w:rFonts w:ascii="Arial" w:eastAsia="Arial" w:hAnsi="Arial" w:cs="Arial"/>
          <w:kern w:val="20"/>
          <w:u w:val="single"/>
        </w:rPr>
        <w:t>LargeCo’s</w:t>
      </w:r>
      <w:r>
        <w:rPr>
          <w:rFonts w:ascii="Arial" w:eastAsia="Arial" w:hAnsi="Arial" w:cs="Arial"/>
          <w:kern w:val="20"/>
          <w:u w:val="single"/>
        </w:rPr>
        <w:t xml:space="preserve">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3" w:name="_gjdgxs" w:colFirst="0" w:colLast="0"/>
      <w:bookmarkEnd w:id="13"/>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r>
        <w:rPr>
          <w:rFonts w:ascii="Arial" w:eastAsia="Arial" w:hAnsi="Arial" w:cs="Arial"/>
          <w:kern w:val="20"/>
          <w:u w:val="single"/>
        </w:rPr>
        <w:t>LargeCo</w:t>
      </w:r>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t>(d) is required to be disclosed by the Receiving Party to a court or governmental or regulatory authority pursuant to a governmental order, subpoena, court order, or Applicable Law, provided that (</w:t>
      </w:r>
      <w:r>
        <w:rPr>
          <w:rFonts w:ascii="Arial" w:eastAsia="Arial" w:hAnsi="Arial" w:cs="Arial"/>
          <w:kern w:val="20"/>
          <w:u w:val="single"/>
        </w:rPr>
        <w:t>i</w:t>
      </w:r>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r>
        <w:rPr>
          <w:rFonts w:ascii="Arial" w:eastAsia="Arial" w:hAnsi="Arial" w:cs="Arial"/>
          <w:kern w:val="20"/>
          <w:u w:val="single"/>
        </w:rPr>
        <w:t>i</w:t>
      </w:r>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w:t>
      </w:r>
      <w:r>
        <w:rPr>
          <w:rFonts w:ascii="Arial" w:eastAsia="Arial" w:hAnsi="Arial" w:cs="Arial"/>
          <w:kern w:val="20"/>
          <w:u w:val="single"/>
        </w:rPr>
        <w:t>Agreement, and</w:t>
      </w:r>
      <w:r>
        <w:rPr>
          <w:rFonts w:ascii="Arial" w:eastAsia="Arial" w:hAnsi="Arial" w:cs="Arial"/>
          <w:kern w:val="20"/>
          <w:u w:val="single"/>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r>
        <w:rPr>
          <w:rFonts w:ascii="Arial" w:eastAsia="Arial" w:hAnsi="Arial" w:cs="Arial"/>
          <w:kern w:val="20"/>
          <w:u w:val="single"/>
        </w:rPr>
        <w:t>LargeCo’s</w:t>
      </w:r>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w:t>
      </w:r>
      <w:r>
        <w:rPr>
          <w:rFonts w:ascii="Arial" w:eastAsia="Arial" w:hAnsi="Arial" w:cs="Arial"/>
          <w:kern w:val="20"/>
          <w:u w:val="single"/>
        </w:rPr>
        <w:t>LargeCo</w:t>
      </w:r>
      <w:r>
        <w:rPr>
          <w:rFonts w:ascii="Arial" w:eastAsia="Arial" w:hAnsi="Arial" w:cs="Arial"/>
          <w:kern w:val="20"/>
          <w:u w:val="single"/>
        </w:rPr>
        <w:t xml:space="preserve"> shall retain the ability to securely download or export Data from the Services, and Provider shall furnish such customer support in connection therewith as </w:t>
      </w:r>
      <w:r>
        <w:rPr>
          <w:rFonts w:ascii="Arial" w:eastAsia="Arial" w:hAnsi="Arial" w:cs="Arial"/>
          <w:kern w:val="20"/>
          <w:u w:val="single"/>
        </w:rPr>
        <w:t>LargeCo</w:t>
      </w:r>
      <w:r>
        <w:rPr>
          <w:rFonts w:ascii="Arial" w:eastAsia="Arial" w:hAnsi="Arial" w:cs="Arial"/>
          <w:kern w:val="20"/>
          <w:u w:val="single"/>
        </w:rPr>
        <w:t xml:space="preserve"> may reasonably request. Promptly after </w:t>
      </w:r>
      <w:r>
        <w:rPr>
          <w:rFonts w:ascii="Arial" w:eastAsia="Arial" w:hAnsi="Arial" w:cs="Arial"/>
          <w:kern w:val="20"/>
          <w:u w:val="single"/>
        </w:rPr>
        <w:t>LargeCo’s</w:t>
      </w:r>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r>
        <w:rPr>
          <w:rFonts w:ascii="Arial" w:eastAsia="Arial" w:hAnsi="Arial" w:cs="Arial"/>
          <w:kern w:val="20"/>
          <w:u w:val="single"/>
        </w:rPr>
        <w:t>LargeCo’s</w:t>
      </w:r>
      <w:r>
        <w:rPr>
          <w:rFonts w:ascii="Arial" w:eastAsia="Arial" w:hAnsi="Arial" w:cs="Arial"/>
          <w:kern w:val="20"/>
          <w:u w:val="single"/>
        </w:rPr>
        <w:t xml:space="preserve"> election) return such Confidential Information to </w:t>
      </w:r>
      <w:r>
        <w:rPr>
          <w:rFonts w:ascii="Arial" w:eastAsia="Arial" w:hAnsi="Arial" w:cs="Arial"/>
          <w:kern w:val="20"/>
          <w:u w:val="single"/>
        </w:rPr>
        <w:t>LargeCo</w:t>
      </w:r>
      <w:r>
        <w:rPr>
          <w:rFonts w:ascii="Arial" w:eastAsia="Arial" w:hAnsi="Arial" w:cs="Arial"/>
          <w:kern w:val="20"/>
          <w:u w:val="single"/>
        </w:rPr>
        <w:t xml:space="preserve"> through a secure method designated by </w:t>
      </w:r>
      <w:r>
        <w:rPr>
          <w:rFonts w:ascii="Arial" w:eastAsia="Arial" w:hAnsi="Arial" w:cs="Arial"/>
          <w:kern w:val="20"/>
          <w:u w:val="single"/>
        </w:rPr>
        <w:t>LargeCo</w:t>
      </w:r>
      <w:r>
        <w:rPr>
          <w:rFonts w:ascii="Arial" w:eastAsia="Arial" w:hAnsi="Arial" w:cs="Arial"/>
          <w:kern w:val="20"/>
          <w:u w:val="single"/>
        </w:rPr>
        <w:t xml:space="preserve">, or securely destroy it. Such destruction shall extend to all records of </w:t>
      </w:r>
      <w:r>
        <w:rPr>
          <w:rFonts w:ascii="Arial" w:eastAsia="Arial" w:hAnsi="Arial" w:cs="Arial"/>
          <w:kern w:val="20"/>
          <w:u w:val="single"/>
        </w:rPr>
        <w:t>LargeCo’s</w:t>
      </w:r>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r>
        <w:rPr>
          <w:rFonts w:ascii="Arial" w:eastAsia="Arial" w:hAnsi="Arial" w:cs="Arial"/>
          <w:kern w:val="20"/>
          <w:u w:val="single"/>
        </w:rPr>
        <w:t>LargeCo’s</w:t>
      </w:r>
      <w:r>
        <w:rPr>
          <w:rFonts w:ascii="Arial" w:eastAsia="Arial" w:hAnsi="Arial" w:cs="Arial"/>
          <w:kern w:val="20"/>
          <w:u w:val="single"/>
        </w:rPr>
        <w:t xml:space="preserve"> request. Provider shall ensure that disposal of </w:t>
      </w:r>
      <w:r>
        <w:rPr>
          <w:rFonts w:ascii="Arial" w:eastAsia="Arial" w:hAnsi="Arial" w:cs="Arial"/>
          <w:kern w:val="20"/>
          <w:u w:val="single"/>
        </w:rPr>
        <w:t>LargeCo’s</w:t>
      </w:r>
      <w:r>
        <w:rPr>
          <w:rFonts w:ascii="Arial" w:eastAsia="Arial" w:hAnsi="Arial" w:cs="Arial"/>
          <w:kern w:val="20"/>
          <w:u w:val="single"/>
        </w:rPr>
        <w:t xml:space="preserve"> Confidential Information is carried out consistent with the methods set forth in the FTC Disposal Rule, 16 C.F.R. § 682.3, and with Applicable Law, including without limitation PCI DSS.</w:t>
      </w:r>
    </w:p>
    <w:p w14:paraId="7970D8D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w:t>
      </w:r>
      <w:r>
        <w:rPr>
          <w:rFonts w:ascii="Arial" w:eastAsia="Arial" w:hAnsi="Arial" w:cs="Arial"/>
          <w:kern w:val="20"/>
          <w:u w:val="single"/>
        </w:rPr>
        <w:t>LargeCo</w:t>
      </w:r>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r>
        <w:rPr>
          <w:rFonts w:ascii="Arial" w:eastAsia="Arial" w:hAnsi="Arial" w:cs="Arial"/>
          <w:kern w:val="20"/>
          <w:u w:val="single"/>
        </w:rPr>
        <w:t>LargeCo</w:t>
      </w:r>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r>
        <w:rPr>
          <w:rFonts w:ascii="Arial" w:eastAsia="Arial" w:hAnsi="Arial" w:cs="Arial"/>
          <w:kern w:val="20"/>
        </w:rPr>
        <w:t xml:space="preserve">due </w:t>
      </w:r>
      <w:r>
        <w:rPr>
          <w:rFonts w:ascii="Arial" w:eastAsia="Arial" w:hAnsi="Arial" w:cs="Arial"/>
          <w:kern w:val="20"/>
        </w:rPr>
        <w:t xml:space="preserve"> sixty</w:t>
      </w:r>
      <w:r>
        <w:rPr>
          <w:rFonts w:ascii="Arial" w:eastAsia="Arial" w:hAnsi="Arial" w:cs="Arial"/>
          <w:kern w:val="20"/>
        </w:rPr>
        <w:t xml:space="preserve">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w:t>
      </w:r>
      <w:r>
        <w:rPr>
          <w:rFonts w:ascii="Arial" w:eastAsia="Arial" w:hAnsi="Arial" w:cs="Arial"/>
          <w:kern w:val="20"/>
        </w:rPr>
        <w:t xml:space="preserve">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all of</w:t>
      </w:r>
      <w:r>
        <w:rPr>
          <w:rFonts w:ascii="Arial" w:eastAsia="Arial" w:hAnsi="Arial" w:cs="Arial"/>
          <w:kern w:val="20"/>
        </w:rPr>
        <w:t xml:space="preserve">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r>
        <w:rPr>
          <w:rFonts w:ascii="Arial" w:eastAsia="Arial" w:hAnsi="Arial" w:cs="Arial"/>
          <w:kern w:val="20"/>
          <w:u w:val="single"/>
        </w:rPr>
        <w:t>LargeCo</w:t>
      </w:r>
      <w:r>
        <w:rPr>
          <w:rFonts w:ascii="Arial" w:eastAsia="Arial" w:hAnsi="Arial" w:cs="Arial"/>
          <w:kern w:val="20"/>
          <w:u w:val="single"/>
        </w:rPr>
        <w:t xml:space="preserve">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r>
        <w:rPr>
          <w:rFonts w:ascii="Arial" w:eastAsia="Arial" w:hAnsi="Arial" w:cs="Arial"/>
          <w:kern w:val="20"/>
        </w:rPr>
        <w:t>LargeCo</w:t>
      </w:r>
      <w:r>
        <w:rPr>
          <w:rFonts w:ascii="Arial" w:eastAsia="Arial" w:hAnsi="Arial" w:cs="Arial"/>
          <w:kern w:val="20"/>
        </w:rPr>
        <w:t xml:space="preserve">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r>
        <w:rPr>
          <w:rFonts w:ascii="Arial" w:eastAsia="Arial" w:hAnsi="Arial" w:cs="Arial"/>
          <w:kern w:val="20"/>
        </w:rPr>
        <w:t>i</w:t>
      </w:r>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r>
        <w:rPr>
          <w:rFonts w:ascii="Arial" w:eastAsia="Arial" w:hAnsi="Arial" w:cs="Arial"/>
          <w:kern w:val="20"/>
        </w:rPr>
        <w:t>LargeCo</w:t>
      </w:r>
      <w:r>
        <w:rPr>
          <w:rFonts w:ascii="Arial" w:eastAsia="Arial" w:hAnsi="Arial" w:cs="Arial"/>
          <w:kern w:val="20"/>
        </w:rPr>
        <w:t xml:space="preserve"> by or on behalf of Provider shall not (</w:t>
      </w:r>
      <w:r>
        <w:rPr>
          <w:rFonts w:ascii="Arial" w:eastAsia="Arial" w:hAnsi="Arial" w:cs="Arial"/>
          <w:kern w:val="20"/>
        </w:rPr>
        <w:t>i</w:t>
      </w:r>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r>
        <w:rPr>
          <w:rFonts w:ascii="Arial" w:eastAsia="Arial" w:hAnsi="Arial" w:cs="Arial"/>
          <w:kern w:val="20"/>
        </w:rPr>
        <w:t>i</w:t>
      </w:r>
      <w:r>
        <w:rPr>
          <w:rFonts w:ascii="Arial" w:eastAsia="Arial" w:hAnsi="Arial" w:cs="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(l) the Services shall be free from any defect in design, material, or workmanship.</w:t>
      </w:r>
    </w:p>
    <w:p w14:paraId="4D408903" w14:textId="77777777">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and warrants that no Service, Deliverable, Provider Technology, or third-party software or other material furnished to </w:t>
      </w:r>
      <w:r>
        <w:rPr>
          <w:rFonts w:ascii="Arial" w:eastAsia="Arial" w:hAnsi="Arial" w:cs="Arial"/>
          <w:kern w:val="20"/>
        </w:rPr>
        <w:t>LargeCo</w:t>
      </w:r>
      <w:r>
        <w:rPr>
          <w:rFonts w:ascii="Arial" w:eastAsia="Arial" w:hAnsi="Arial" w:cs="Arial"/>
          <w:kern w:val="20"/>
        </w:rPr>
        <w:t xml:space="preserve"> by or on behalf of Provider — and no associated distribution vehicle — shall contain, involve, or otherwise result in the transmission over any </w:t>
      </w:r>
      <w:r>
        <w:rPr>
          <w:rFonts w:ascii="Arial" w:eastAsia="Arial" w:hAnsi="Arial" w:cs="Arial"/>
          <w:kern w:val="20"/>
        </w:rPr>
        <w:t>LargeCo</w:t>
      </w:r>
      <w:r>
        <w:rPr>
          <w:rFonts w:ascii="Arial" w:eastAsia="Arial" w:hAnsi="Arial" w:cs="Arial"/>
          <w:kern w:val="20"/>
        </w:rPr>
        <w:t xml:space="preserve"> System or User system of any: (a) “back door,” “Trojan Horse,” “worm,” “virus,” “spyware,” “malware,” or other malicious code or artifact; or (b) computer code or software routine </w:t>
      </w:r>
      <w:r>
        <w:rPr>
          <w:rFonts w:ascii="Arial" w:eastAsia="Arial" w:hAnsi="Arial" w:cs="Arial"/>
          <w:kern w:val="20"/>
        </w:rPr>
        <w:t>that (</w:t>
      </w:r>
      <w:r>
        <w:rPr>
          <w:rFonts w:ascii="Arial" w:eastAsia="Arial" w:hAnsi="Arial" w:cs="Arial"/>
          <w:kern w:val="20"/>
        </w:rPr>
        <w:t>i</w:t>
      </w:r>
      <w:r>
        <w:rPr>
          <w:rFonts w:ascii="Arial" w:eastAsia="Arial" w:hAnsi="Arial" w:cs="Arial"/>
          <w:kern w:val="20"/>
        </w:rPr>
        <w:t xml:space="preserve">) permits unauthorized access to or use of any </w:t>
      </w:r>
      <w:r>
        <w:rPr>
          <w:rFonts w:ascii="Arial" w:eastAsia="Arial" w:hAnsi="Arial" w:cs="Arial"/>
          <w:kern w:val="20"/>
        </w:rPr>
        <w:t>LargeCo</w:t>
      </w:r>
      <w:r>
        <w:rPr>
          <w:rFonts w:ascii="Arial" w:eastAsia="Arial" w:hAnsi="Arial" w:cs="Arial"/>
          <w:kern w:val="20"/>
        </w:rPr>
        <w:t xml:space="preserve"> System or User system, or any component thereof, or (ii) disables, damages, erases, disrupts, or impairs the normal operation of any </w:t>
      </w:r>
      <w:r>
        <w:rPr>
          <w:rFonts w:ascii="Arial" w:eastAsia="Arial" w:hAnsi="Arial" w:cs="Arial"/>
          <w:kern w:val="20"/>
        </w:rPr>
        <w:t>LargeCo</w:t>
      </w:r>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r>
        <w:rPr>
          <w:rFonts w:ascii="Arial" w:eastAsia="Arial" w:hAnsi="Arial" w:cs="Arial"/>
          <w:kern w:val="20"/>
          <w:u w:val="single"/>
        </w:rPr>
        <w:t>LargeCo</w:t>
      </w:r>
      <w:r>
        <w:rPr>
          <w:rFonts w:ascii="Arial" w:eastAsia="Arial" w:hAnsi="Arial" w:cs="Arial"/>
          <w:kern w:val="20"/>
          <w:u w:val="single"/>
        </w:rPr>
        <w:t xml:space="preserve">, or Provider reasonably believes, that </w:t>
      </w:r>
      <w:r>
        <w:rPr>
          <w:rFonts w:ascii="Arial" w:eastAsia="Arial" w:hAnsi="Arial" w:cs="Arial"/>
          <w:kern w:val="20"/>
          <w:u w:val="single"/>
        </w:rPr>
        <w:t>LargeCo’s</w:t>
      </w:r>
      <w:r>
        <w:rPr>
          <w:rFonts w:ascii="Arial" w:eastAsia="Arial" w:hAnsi="Arial" w:cs="Arial"/>
          <w:kern w:val="20"/>
          <w:u w:val="single"/>
        </w:rPr>
        <w:t xml:space="preserve"> receipt or use of any Service infringes any third-party Intellectual Property, Provider shall, at its option and expense: (a) procure for </w:t>
      </w:r>
      <w:r>
        <w:rPr>
          <w:rFonts w:ascii="Arial" w:eastAsia="Arial" w:hAnsi="Arial" w:cs="Arial"/>
          <w:kern w:val="20"/>
          <w:u w:val="single"/>
        </w:rPr>
        <w:t>LargeCo</w:t>
      </w:r>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r>
        <w:rPr>
          <w:rFonts w:ascii="Arial" w:eastAsia="Arial" w:hAnsi="Arial" w:cs="Arial"/>
          <w:kern w:val="20"/>
          <w:u w:val="single"/>
        </w:rPr>
        <w:t>LargeCo</w:t>
      </w:r>
      <w:r>
        <w:rPr>
          <w:rFonts w:ascii="Arial" w:eastAsia="Arial" w:hAnsi="Arial" w:cs="Arial"/>
          <w:kern w:val="20"/>
          <w:u w:val="single"/>
        </w:rPr>
        <w:t xml:space="preserve"> may terminate this Agreement and/or any affected Order </w:t>
      </w:r>
      <w:r>
        <w:rPr>
          <w:rFonts w:ascii="Arial" w:eastAsia="Arial" w:hAnsi="Arial" w:cs="Arial"/>
          <w:kern w:val="20"/>
          <w:u w:val="single"/>
        </w:rPr>
        <w:t>Form, and</w:t>
      </w:r>
      <w:r>
        <w:rPr>
          <w:rFonts w:ascii="Arial" w:eastAsia="Arial" w:hAnsi="Arial" w:cs="Arial"/>
          <w:kern w:val="20"/>
          <w:u w:val="single"/>
        </w:rPr>
        <w:t xml:space="preserve"> shall not be charged (and shall be reimbursed for) any fees attributable to any period during which </w:t>
      </w:r>
      <w:r>
        <w:rPr>
          <w:rFonts w:ascii="Arial" w:eastAsia="Arial" w:hAnsi="Arial" w:cs="Arial"/>
          <w:kern w:val="20"/>
          <w:u w:val="single"/>
        </w:rPr>
        <w:t>LargeCo</w:t>
      </w:r>
      <w:r>
        <w:rPr>
          <w:rFonts w:ascii="Arial" w:eastAsia="Arial" w:hAnsi="Arial" w:cs="Arial"/>
          <w:kern w:val="20"/>
          <w:u w:val="single"/>
        </w:rPr>
        <w:t xml:space="preserve"> is without the affected Service.</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4" w:name="_30j0zll" w:colFirst="0" w:colLast="0"/>
      <w:bookmarkEnd w:id="14"/>
    </w:p>
    <w:p w14:paraId="3FF994E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w:t>
      </w:r>
      <w:r>
        <w:rPr>
          <w:rFonts w:ascii="Arial" w:eastAsia="Arial" w:hAnsi="Arial" w:cs="Arial"/>
          <w:kern w:val="20"/>
        </w:rPr>
        <w:t>LargeCo</w:t>
      </w:r>
      <w:r>
        <w:rPr>
          <w:rFonts w:ascii="Arial" w:eastAsia="Arial" w:hAnsi="Arial" w:cs="Arial"/>
          <w:kern w:val="20"/>
        </w:rPr>
        <w:t xml:space="preserve">, the </w:t>
      </w:r>
      <w:r>
        <w:rPr>
          <w:rFonts w:ascii="Arial" w:eastAsia="Arial" w:hAnsi="Arial" w:cs="Arial"/>
          <w:kern w:val="20"/>
        </w:rPr>
        <w:t>LargeCo</w:t>
      </w:r>
      <w:r>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w:t>
      </w:r>
      <w:r>
        <w:rPr>
          <w:rFonts w:ascii="Arial" w:eastAsia="Arial" w:hAnsi="Arial" w:cs="Arial"/>
          <w:kern w:val="20"/>
        </w:rPr>
        <w:t>LargeCo</w:t>
      </w:r>
      <w:r>
        <w:rPr>
          <w:rFonts w:ascii="Arial" w:eastAsia="Arial" w:hAnsi="Arial" w:cs="Arial"/>
          <w:kern w:val="20"/>
        </w:rPr>
        <w:t xml:space="preserve"> at law or in equity.</w:t>
      </w:r>
    </w:p>
    <w:p w14:paraId="350317E8" w14:textId="64D27D18">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LargeCo</w:t>
      </w:r>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w:t>
      </w:r>
      <w:r>
        <w:rPr>
          <w:rFonts w:ascii="Arial" w:eastAsia="Arial" w:hAnsi="Arial" w:cs="Arial"/>
          <w:kern w:val="20"/>
        </w:rPr>
        <w:t>LargeCo</w:t>
      </w:r>
      <w:r>
        <w:rPr>
          <w:rFonts w:ascii="Arial" w:eastAsia="Arial" w:hAnsi="Arial" w:cs="Arial"/>
          <w:kern w:val="20"/>
        </w:rPr>
        <w:t xml:space="preserve"> shall reasonably cooperate, at Provider’s expense, in the defense and in any compromise or settlement of the Claim. Neither </w:t>
      </w:r>
      <w:r>
        <w:rPr>
          <w:rFonts w:ascii="Arial" w:eastAsia="Arial" w:hAnsi="Arial" w:cs="Arial"/>
          <w:kern w:val="20"/>
        </w:rPr>
        <w:t>LargeCo</w:t>
      </w:r>
      <w:r>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This Service Level Agreement (“SLA”) (</w:t>
      </w:r>
      <w:r>
        <w:rPr>
          <w:rFonts w:ascii="Arial" w:eastAsia="Arial" w:hAnsi="Arial" w:cs="Arial"/>
        </w:rPr>
        <w:t>i</w:t>
      </w:r>
      <w:r>
        <w:rPr>
          <w:rFonts w:ascii="Arial" w:eastAsia="Arial" w:hAnsi="Arial" w:cs="Arial"/>
        </w:rPr>
        <w:t xml:space="preserve">)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r>
        <w:rPr>
          <w:rFonts w:ascii="Arial" w:eastAsia="Arial" w:hAnsi="Arial" w:cs="Arial"/>
          <w:color w:val="000000"/>
        </w:rPr>
        <w:t>i</w:t>
      </w:r>
      <w:r>
        <w:rPr>
          <w:rFonts w:ascii="Arial" w:eastAsia="Arial" w:hAnsi="Arial" w:cs="Arial"/>
          <w:color w:val="000000"/>
        </w:rPr>
        <w:t xml:space="preserve">)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31D7652">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5"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99.99%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15"/>
    </w:p>
    <w:p w14:paraId="25251CF7" w14:textId="05BC1A23">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2:00 A.M.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6" w:name="_heading=h.gjdgxs" w:colFirst="0" w:colLast="0"/>
      <w:bookmarkEnd w:id="16"/>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Pr>
          <w:rFonts w:ascii="Arial" w:eastAsia="Arial" w:hAnsi="Arial" w:cs="Arial"/>
          <w:color w:val="000000"/>
        </w:rPr>
        <w:t>LargeCo</w:t>
      </w:r>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5535DFE1">
            <w:pPr>
              <w:jc w:val="center"/>
              <w:rPr>
                <w:rFonts w:ascii="Arial" w:eastAsia="Arial" w:hAnsi="Arial" w:cs="Arial"/>
              </w:rPr>
            </w:pPr>
            <w:r>
              <w:rPr>
                <w:rFonts w:ascii="Arial" w:eastAsia="Arial" w:hAnsi="Arial" w:cs="Arial"/>
              </w:rPr>
              <w:t>30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2C0EA32B">
            <w:pPr>
              <w:jc w:val="center"/>
              <w:rPr>
                <w:rFonts w:ascii="Arial" w:eastAsia="Arial" w:hAnsi="Arial" w:cs="Arial"/>
              </w:rPr>
            </w:pPr>
            <w:r>
              <w:rPr>
                <w:rFonts w:ascii="Arial" w:eastAsia="Arial" w:hAnsi="Arial" w:cs="Arial"/>
              </w:rPr>
              <w:t xml:space="preserve"> </w:t>
            </w:r>
            <w:r>
              <w:rPr>
                <w:rFonts w:ascii="Arial" w:eastAsia="Arial" w:hAnsi="Arial" w:cs="Arial"/>
              </w:rPr>
              <w:t>1</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 xml:space="preserve">Loss of any Service functionality or performance or a function/product loss that affects </w:t>
            </w:r>
            <w:r>
              <w:rPr>
                <w:rFonts w:ascii="Arial" w:eastAsia="Arial" w:hAnsi="Arial" w:cs="Arial"/>
              </w:rPr>
              <w:t>a large number of</w:t>
            </w:r>
            <w:r>
              <w:rPr>
                <w:rFonts w:ascii="Arial" w:eastAsia="Arial" w:hAnsi="Arial" w:cs="Arial"/>
              </w:rPr>
              <w:t xml:space="preserve">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pPr>
              <w:jc w:val="center"/>
              <w:rPr>
                <w:rFonts w:ascii="Arial" w:eastAsia="Arial" w:hAnsi="Arial" w:cs="Arial"/>
              </w:rPr>
            </w:pPr>
            <w:r>
              <w:rPr>
                <w:rFonts w:ascii="Arial" w:eastAsia="Arial" w:hAnsi="Arial" w:cs="Arial"/>
              </w:rPr>
              <w:t>24</w:t>
            </w:r>
            <w:r>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4AEA9CA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In the event that</w:t>
      </w:r>
      <w:r>
        <w:rPr>
          <w:rFonts w:ascii="Arial" w:eastAsia="Arial" w:hAnsi="Arial" w:cs="Arial"/>
          <w:bCs/>
          <w:color w:val="000000"/>
        </w:rPr>
        <w:t xml:space="preserve">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99.99% - 99.9%</w:t>
            </w:r>
          </w:p>
        </w:tc>
        <w:tc>
          <w:tcPr>
            <w:tcW w:w="2785" w:type="dxa"/>
          </w:tcPr>
          <w:p w14:paraId="01DC432A" w14:textId="5CBC242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Pr>
                <w:rFonts w:ascii="Arial" w:hAnsi="Arial" w:cs="Arial"/>
                <w:sz w:val="20"/>
                <w:szCs w:val="20"/>
              </w:rPr>
              <w:t>%</w:t>
            </w:r>
          </w:p>
        </w:tc>
      </w:tr>
      <w:tr w14:paraId="57340D56" w14:textId="77777777">
        <w:trPr>
          <w:trHeight w:val="20"/>
          <w:jc w:val="center"/>
        </w:trPr>
        <w:tc>
          <w:tcPr>
            <w:tcW w:w="3245" w:type="dxa"/>
          </w:tcPr>
          <w:p w14:paraId="53614E85"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 - 99%</w:t>
            </w:r>
          </w:p>
        </w:tc>
        <w:tc>
          <w:tcPr>
            <w:tcW w:w="2785" w:type="dxa"/>
          </w:tcPr>
          <w:p w14:paraId="570E35D5" w14:textId="48E953E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p>
        </w:tc>
      </w:tr>
      <w:tr w14:paraId="2886DDF6" w14:textId="77777777">
        <w:trPr>
          <w:trHeight w:val="20"/>
          <w:jc w:val="center"/>
        </w:trPr>
        <w:tc>
          <w:tcPr>
            <w:tcW w:w="3245" w:type="dxa"/>
          </w:tcPr>
          <w:p w14:paraId="02F077BC"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 - 98%</w:t>
            </w:r>
          </w:p>
        </w:tc>
        <w:tc>
          <w:tcPr>
            <w:tcW w:w="2785" w:type="dxa"/>
          </w:tcPr>
          <w:p w14:paraId="5E2E1274" w14:textId="695E4B64">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Pr>
                <w:rFonts w:ascii="Arial" w:hAnsi="Arial" w:cs="Arial"/>
                <w:sz w:val="20"/>
                <w:szCs w:val="20"/>
              </w:rPr>
              <w:t>%</w:t>
            </w:r>
          </w:p>
        </w:tc>
      </w:tr>
      <w:tr w14:paraId="3B316ED2" w14:textId="77777777">
        <w:trPr>
          <w:trHeight w:val="20"/>
          <w:jc w:val="center"/>
        </w:trPr>
        <w:tc>
          <w:tcPr>
            <w:tcW w:w="3245" w:type="dxa"/>
          </w:tcPr>
          <w:p w14:paraId="58FDED7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98% - 97%</w:t>
            </w:r>
          </w:p>
        </w:tc>
        <w:tc>
          <w:tcPr>
            <w:tcW w:w="2785" w:type="dxa"/>
          </w:tcPr>
          <w:p w14:paraId="208C234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60%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7" w:name="_heading=h.30j0zll" w:colFirst="0" w:colLast="0"/>
      <w:bookmarkEnd w:id="17"/>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5F8F51F">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w:t>
      </w:r>
      <w:r>
        <w:rPr>
          <w:rFonts w:ascii="Arial" w:eastAsia="Arial" w:hAnsi="Arial" w:cs="Arial"/>
          <w:color w:val="000000"/>
        </w:rPr>
        <w:t>i</w:t>
      </w:r>
      <w:r>
        <w:rPr>
          <w:rFonts w:ascii="Arial" w:eastAsia="Arial" w:hAnsi="Arial" w:cs="Arial"/>
          <w:color w:val="000000"/>
        </w:rPr>
        <w:t>) a Recovery Time Objective of four (4) hours or less and (ii) a Recovery Point Objective of as close to real-time as commercially practicable (not to exceed fifteen (15) minutes) ((</w:t>
      </w:r>
      <w:r>
        <w:rPr>
          <w:rFonts w:ascii="Arial" w:eastAsia="Arial" w:hAnsi="Arial" w:cs="Arial"/>
          <w:color w:val="000000"/>
        </w:rPr>
        <w:t>i</w:t>
      </w:r>
      <w:r>
        <w:rPr>
          <w:rFonts w:ascii="Arial" w:eastAsia="Arial" w:hAnsi="Arial" w:cs="Arial"/>
          <w:color w:val="000000"/>
        </w:rPr>
        <w:t>)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r>
        <w:rPr>
          <w:rFonts w:ascii="Arial" w:eastAsia="Arial" w:hAnsi="Arial" w:cs="Arial"/>
          <w:color w:val="000000"/>
        </w:rPr>
        <w:t>i</w:t>
      </w:r>
      <w:r>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fifteen (15)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ED9370F">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fails to </w:t>
      </w:r>
      <w:r>
        <w:rPr>
          <w:rFonts w:ascii="Arial" w:eastAsia="Arial" w:hAnsi="Arial" w:cs="Arial"/>
          <w:color w:val="000000"/>
        </w:rPr>
        <w:t>meet any requirements of this Exhibit A</w:t>
      </w:r>
      <w:r>
        <w:rPr>
          <w:rFonts w:ascii="Arial" w:eastAsia="Arial" w:hAnsi="Arial" w:cs="Arial"/>
          <w:color w:val="000000"/>
        </w:rPr>
        <w: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8"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bookmarkEnd w:id="18"/>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$5,000,000 each occurrence and $5,000,000 in the aggregate</w:t>
      </w:r>
      <w:r>
        <w:rPr>
          <w:rFonts w:ascii="Arial" w:hAnsi="Arial" w:cs="Arial"/>
        </w:rPr>
        <w:t>.</w:t>
      </w:r>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$5,000,000 per occurrence/claim and $5,000,000 in the aggregate.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5657525D">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Pr>
          <w:rFonts w:ascii="Arial" w:hAnsi="Arial" w:cs="Arial"/>
        </w:rPr>
        <w:t>E</w:t>
      </w:r>
      <w:r>
        <w:rPr>
          <w:rFonts w:ascii="Cambria Math" w:hAnsi="Cambria Math" w:cs="Cambria Math"/>
        </w:rPr>
        <w:t>‐</w:t>
      </w:r>
      <w:r>
        <w:rPr>
          <w:rFonts w:ascii="Arial" w:hAnsi="Arial" w:cs="Arial"/>
        </w:rPr>
        <w:t xml:space="preserve">waste processors and recyclers will be required to provide evidence of cyber liability. Limits of liability to </w:t>
      </w:r>
      <w:r>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$5,000,000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9" w:name="_Hlk42773907"/>
      <w:r>
        <w:rPr>
          <w:rFonts w:ascii="Arial" w:hAnsi="Arial" w:cs="Arial"/>
        </w:rPr>
        <w:t>C</w:t>
      </w:r>
      <w:r>
        <w:rPr>
          <w:rFonts w:ascii="Arial" w:hAnsi="Arial" w:cs="Arial"/>
        </w:rPr>
        <w:t xml:space="preserve">ontain an endorsement (blanket acceptable) including </w:t>
      </w:r>
      <w:bookmarkEnd w:id="19"/>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0" w:name="_Hlk42773940"/>
      <w:r>
        <w:rPr>
          <w:rFonts w:ascii="Arial" w:hAnsi="Arial" w:cs="Arial"/>
        </w:rPr>
        <w:t>C</w:t>
      </w:r>
      <w:r>
        <w:rPr>
          <w:rFonts w:ascii="Arial" w:hAnsi="Arial" w:cs="Arial"/>
        </w:rPr>
        <w:t xml:space="preserve">ontain an endorsement (blanket acceptable) stating coverage </w:t>
      </w:r>
      <w:bookmarkEnd w:id="20"/>
      <w:r>
        <w:rPr>
          <w:rFonts w:ascii="Arial" w:hAnsi="Arial" w:cs="Arial"/>
        </w:rPr>
        <w:t xml:space="preserve">is primary, not contributory, and not </w:t>
      </w:r>
      <w:r>
        <w:rPr>
          <w:rFonts w:ascii="Arial" w:hAnsi="Arial" w:cs="Arial"/>
        </w:rPr>
        <w:t>in excess of</w:t>
      </w:r>
      <w:r>
        <w:rPr>
          <w:rFonts w:ascii="Arial" w:hAnsi="Arial" w:cs="Arial"/>
        </w:rPr>
        <w:t xml:space="preserve">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6"/>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pPr>
        <w:spacing w:after="200" w:line="276" w:lineRule="auto"/>
        <w:jc w:val="both"/>
        <w:rPr>
          <w:rFonts w:ascii="Arial" w:hAnsi="Arial" w:cs="Arial"/>
          <w:sz w:val="21"/>
          <w:szCs w:val="21"/>
        </w:rPr>
      </w:pPr>
      <w:r>
        <w:rPr>
          <w:rFonts w:ascii="Arial" w:hAnsi="Arial" w:cs="Arial"/>
          <w:sz w:val="21"/>
          <w:szCs w:val="21"/>
        </w:rPr>
        <w:t>“</w:t>
      </w:r>
      <w:r>
        <w:rPr>
          <w:rFonts w:ascii="Arial" w:hAnsi="Arial" w:cs="Arial"/>
          <w:b/>
          <w:sz w:val="21"/>
          <w:szCs w:val="21"/>
        </w:rPr>
        <w:t>Personal Financial Information</w:t>
      </w:r>
      <w:r>
        <w:rPr>
          <w:rFonts w:ascii="Arial" w:hAnsi="Arial" w:cs="Arial"/>
          <w:sz w:val="21"/>
          <w:szCs w:val="21"/>
        </w:rPr>
        <w:t xml:space="preserve">” shall mean </w:t>
      </w:r>
      <w:r>
        <w:rPr>
          <w:rFonts w:ascii="Arial" w:hAnsi="Arial" w:cs="Arial"/>
          <w:sz w:val="21"/>
          <w:szCs w:val="21"/>
        </w:rPr>
        <w:t>any and all</w:t>
      </w:r>
      <w:r>
        <w:rPr>
          <w:rFonts w:ascii="Arial" w:hAnsi="Arial" w:cs="Arial"/>
          <w:sz w:val="21"/>
          <w:szCs w:val="21"/>
        </w:rPr>
        <w:t xml:space="preserve"> financial account information, payment information or any other </w:t>
      </w:r>
      <w:r>
        <w:rPr>
          <w:rFonts w:ascii="Arial" w:hAnsi="Arial" w:cs="Arial"/>
          <w:sz w:val="21"/>
          <w:szCs w:val="21"/>
        </w:rPr>
        <w:t>LargeCo</w:t>
      </w:r>
      <w:r>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68627BF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w:t>
      </w:r>
      <w:r>
        <w:rPr>
          <w:rFonts w:ascii="Arial" w:hAnsi="Arial" w:cs="Arial"/>
          <w:sz w:val="21"/>
          <w:szCs w:val="21"/>
        </w:rPr>
        <w:t>i</w:t>
      </w:r>
      <w:r>
        <w:rPr>
          <w:rFonts w:ascii="Arial" w:hAnsi="Arial" w:cs="Arial"/>
          <w:sz w:val="21"/>
          <w:szCs w:val="21"/>
        </w:rPr>
        <w:t xml:space="preserve">)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w:t>
      </w:r>
      <w:r>
        <w:rPr>
          <w:rFonts w:ascii="Arial" w:hAnsi="Arial" w:cs="Arial"/>
          <w:sz w:val="21"/>
          <w:szCs w:val="21"/>
        </w:rPr>
        <w:t>userIDs</w:t>
      </w:r>
      <w:r>
        <w:rPr>
          <w:rFonts w:ascii="Arial" w:hAnsi="Arial" w:cs="Arial"/>
          <w:sz w:val="21"/>
          <w:szCs w:val="21"/>
        </w:rPr>
        <w:t xml:space="preserve">, </w:t>
      </w:r>
      <w:r>
        <w:rPr>
          <w:rFonts w:ascii="Arial" w:hAnsi="Arial" w:cs="Arial"/>
          <w:sz w:val="21"/>
          <w:szCs w:val="21"/>
        </w:rPr>
        <w:t>user names</w:t>
      </w:r>
      <w:r>
        <w:rPr>
          <w:rFonts w:ascii="Arial" w:hAnsi="Arial" w:cs="Arial"/>
          <w:sz w:val="21"/>
          <w:szCs w:val="21"/>
        </w:rPr>
        <w:t xml:space="preserve">,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t xml:space="preserve">or through any </w:t>
      </w:r>
      <w:r>
        <w:rPr>
          <w:rFonts w:ascii="Arial" w:hAnsi="Arial" w:cs="Arial"/>
          <w:sz w:val="21"/>
          <w:szCs w:val="21"/>
        </w:rPr>
        <w:t>third party</w:t>
      </w:r>
      <w:r>
        <w:rPr>
          <w:rFonts w:ascii="Arial" w:hAnsi="Arial" w:cs="Arial"/>
          <w:sz w:val="21"/>
          <w:szCs w:val="21"/>
        </w:rPr>
        <w:t xml:space="preserve">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4D017EB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w:t>
      </w:r>
      <w:r>
        <w:rPr>
          <w:rFonts w:ascii="Arial" w:hAnsi="Arial" w:cs="Arial"/>
          <w:sz w:val="21"/>
          <w:szCs w:val="21"/>
        </w:rPr>
        <w:t>at all times</w:t>
      </w:r>
      <w:r>
        <w:rPr>
          <w:rFonts w:ascii="Arial" w:hAnsi="Arial" w:cs="Arial"/>
          <w:sz w:val="21"/>
          <w:szCs w:val="21"/>
        </w:rPr>
        <w:t xml:space="preserve"> comply with (</w:t>
      </w:r>
      <w:r>
        <w:rPr>
          <w:rFonts w:ascii="Arial" w:hAnsi="Arial" w:cs="Arial"/>
          <w:sz w:val="21"/>
          <w:szCs w:val="21"/>
        </w:rPr>
        <w:t>i</w:t>
      </w:r>
      <w:r>
        <w:rPr>
          <w:rFonts w:ascii="Arial" w:hAnsi="Arial" w:cs="Arial"/>
          <w:sz w:val="21"/>
          <w:szCs w:val="21"/>
        </w:rPr>
        <w:t xml:space="preserve">)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from all other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third party</w:t>
      </w:r>
      <w:r>
        <w:rPr>
          <w:rFonts w:ascii="Arial" w:hAnsi="Arial" w:cs="Arial"/>
          <w:sz w:val="21"/>
          <w:szCs w:val="21"/>
        </w:rPr>
        <w:t xml:space="preserve">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w:t>
      </w:r>
      <w:r>
        <w:rPr>
          <w:rFonts w:ascii="Arial" w:hAnsi="Arial" w:cs="Arial"/>
          <w:sz w:val="21"/>
          <w:szCs w:val="21"/>
        </w:rPr>
        <w:t>all of</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shall encrypt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while at rest or in motion, </w:t>
      </w:r>
      <w:r>
        <w:rPr>
          <w:rFonts w:ascii="Arial" w:hAnsi="Arial" w:cs="Arial"/>
          <w:sz w:val="21"/>
          <w:szCs w:val="21"/>
        </w:rPr>
        <w:t xml:space="preserve">including on portable devices or on portable </w:t>
      </w:r>
      <w:r>
        <w:rPr>
          <w:rFonts w:ascii="Arial" w:hAnsi="Arial" w:cs="Arial"/>
          <w:sz w:val="21"/>
          <w:szCs w:val="21"/>
        </w:rPr>
        <w:t>media,  consistent</w:t>
      </w:r>
      <w:r>
        <w:rPr>
          <w:rFonts w:ascii="Arial" w:hAnsi="Arial" w:cs="Arial"/>
          <w:sz w:val="21"/>
          <w:szCs w:val="21"/>
        </w:rPr>
        <w:t xml:space="preserve">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w:t>
      </w:r>
      <w:r>
        <w:rPr>
          <w:rFonts w:ascii="Arial" w:hAnsi="Arial" w:cs="Arial"/>
          <w:sz w:val="21"/>
          <w:szCs w:val="21"/>
        </w:rPr>
        <w:t>i</w:t>
      </w:r>
      <w:r>
        <w:rPr>
          <w:rFonts w:ascii="Arial" w:hAnsi="Arial" w:cs="Arial"/>
          <w:sz w:val="21"/>
          <w:szCs w:val="21"/>
        </w:rPr>
        <w:t xml:space="preserve">) an organizational structure and appropriate security controls to identify and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w:t>
      </w:r>
      <w:r>
        <w:rPr>
          <w:rFonts w:ascii="Arial" w:hAnsi="Arial" w:cs="Arial"/>
          <w:sz w:val="21"/>
          <w:szCs w:val="21"/>
        </w:rPr>
        <w:t>In the event that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w:t>
      </w:r>
      <w:r>
        <w:rPr>
          <w:rFonts w:ascii="Arial" w:hAnsi="Arial" w:cs="Arial"/>
          <w:sz w:val="21"/>
          <w:szCs w:val="21"/>
        </w:rPr>
        <w:t>seven day</w:t>
      </w:r>
      <w:r>
        <w:rPr>
          <w:rFonts w:ascii="Arial" w:hAnsi="Arial" w:cs="Arial"/>
          <w:sz w:val="21"/>
          <w:szCs w:val="21"/>
        </w:rPr>
        <w:t xml:space="preserve">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w:t>
      </w:r>
      <w:r>
        <w:rPr>
          <w:rFonts w:ascii="Arial" w:hAnsi="Arial" w:cs="Arial"/>
          <w:sz w:val="21"/>
          <w:szCs w:val="21"/>
        </w:rPr>
        <w:t xml:space="preserve">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for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minimally necessary to provide the Services. </w:t>
      </w:r>
      <w:r>
        <w:rPr>
          <w:rFonts w:ascii="Arial" w:hAnsi="Arial" w:cs="Arial"/>
          <w:sz w:val="21"/>
          <w:szCs w:val="21"/>
        </w:rPr>
        <w:t>Provider</w:t>
      </w:r>
      <w:r>
        <w:rPr>
          <w:rFonts w:ascii="Arial" w:hAnsi="Arial" w:cs="Arial"/>
          <w:sz w:val="21"/>
          <w:szCs w:val="21"/>
        </w:rPr>
        <w:t xml:space="preserve"> shall </w:t>
      </w:r>
      <w:r>
        <w:rPr>
          <w:rFonts w:ascii="Arial" w:hAnsi="Arial" w:cs="Arial"/>
          <w:sz w:val="21"/>
          <w:szCs w:val="21"/>
        </w:rPr>
        <w:t>not, and</w:t>
      </w:r>
      <w:r>
        <w:rPr>
          <w:rFonts w:ascii="Arial" w:hAnsi="Arial" w:cs="Arial"/>
          <w:sz w:val="21"/>
          <w:szCs w:val="21"/>
        </w:rPr>
        <w:t xml:space="preserve">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7EDA281B">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Pr>
          <w:rFonts w:ascii="Arial" w:hAnsi="Arial" w:cs="Arial"/>
          <w:sz w:val="21"/>
          <w:szCs w:val="21"/>
        </w:rPr>
        <w:t xml:space="preserve"> remains compliant with this Agreement and 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 xml:space="preserve">shall 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w:t>
      </w:r>
      <w:r>
        <w:rPr>
          <w:rFonts w:ascii="Arial" w:hAnsi="Arial" w:cs="Arial"/>
          <w:sz w:val="21"/>
          <w:szCs w:val="21"/>
        </w:rPr>
        <w:t>that accesses</w:t>
      </w:r>
      <w:r>
        <w:rPr>
          <w:rFonts w:ascii="Arial" w:hAnsi="Arial" w:cs="Arial"/>
          <w:sz w:val="21"/>
          <w:szCs w:val="21"/>
        </w:rPr>
        <w:t xml:space="preserve">, stores or collects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Agreement.   </w:t>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Attachment 1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1"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2"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2"/>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21"/>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3"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3"/>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w:t>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w:t>
      </w:r>
      <w:r>
        <w:rPr>
          <w:rFonts w:ascii="Arial" w:hAnsi="Arial" w:cs="Arial"/>
          <w:sz w:val="21"/>
          <w:szCs w:val="21"/>
        </w:rPr>
        <w:t>i</w:t>
      </w:r>
      <w:r>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4" w:name="_Hlk102139898"/>
      <w:r>
        <w:rPr>
          <w:rFonts w:ascii="Arial" w:hAnsi="Arial" w:cs="Arial"/>
          <w:sz w:val="21"/>
          <w:szCs w:val="21"/>
        </w:rPr>
        <w:t>Take appropriate technical and organizational measures for the fulfillment of data subject requests under Applicable Laws;</w:t>
      </w:r>
      <w:bookmarkEnd w:id="24"/>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w:t>
      </w:r>
      <w:r>
        <w:rPr>
          <w:rFonts w:ascii="Arial" w:hAnsi="Arial" w:cs="Arial"/>
          <w:sz w:val="21"/>
          <w:szCs w:val="21"/>
        </w:rPr>
        <w:t>i</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reasonable requests </w:t>
      </w:r>
      <w:r>
        <w:rPr>
          <w:rFonts w:ascii="Arial" w:hAnsi="Arial" w:cs="Arial"/>
          <w:sz w:val="21"/>
          <w:szCs w:val="21"/>
        </w:rPr>
        <w:t>in order for</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 xml:space="preserve">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w:t>
      </w:r>
      <w:r>
        <w:rPr>
          <w:rFonts w:ascii="Arial" w:hAnsi="Arial" w:cs="Arial"/>
          <w:sz w:val="21"/>
          <w:szCs w:val="21"/>
        </w:rPr>
        <w:t>In the event that</w:t>
      </w:r>
      <w:r>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2BBE25D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satisfaction, at </w:t>
      </w:r>
      <w:r>
        <w:rPr>
          <w:rFonts w:ascii="Arial" w:hAnsi="Arial" w:cs="Arial"/>
          <w:sz w:val="21"/>
          <w:szCs w:val="21"/>
        </w:rPr>
        <w:t>Provider</w:t>
      </w:r>
      <w:r>
        <w:rPr>
          <w:rFonts w:ascii="Arial" w:hAnsi="Arial" w:cs="Arial"/>
          <w:sz w:val="21"/>
          <w:szCs w:val="21"/>
        </w:rPr>
        <w:t xml:space="preserve">’s expense, within eight (8) hours of discovery. </w:t>
      </w:r>
    </w:p>
    <w:p w14:paraId="41A69E1E" w14:textId="18A5B17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w:t>
      </w:r>
      <w:r>
        <w:rPr>
          <w:rFonts w:ascii="Arial" w:hAnsi="Arial" w:cs="Arial"/>
          <w:sz w:val="21"/>
          <w:szCs w:val="21"/>
        </w:rPr>
        <w:t>i</w:t>
      </w:r>
      <w:r>
        <w:rPr>
          <w:rFonts w:ascii="Arial" w:hAnsi="Arial" w:cs="Arial"/>
          <w:sz w:val="21"/>
          <w:szCs w:val="21"/>
        </w:rPr>
        <w:t xml:space="preserve">) conducting an investigation of any </w:t>
      </w:r>
      <w:r>
        <w:rPr>
          <w:rFonts w:ascii="Arial" w:hAnsi="Arial" w:cs="Arial"/>
          <w:sz w:val="21"/>
          <w:szCs w:val="21"/>
        </w:rPr>
        <w:t xml:space="preserve">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In addition,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1FDA9A9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In the event of a Data Security Breach (including,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w:t>
      </w:r>
      <w:r>
        <w:rPr>
          <w:rFonts w:ascii="Arial" w:hAnsi="Arial" w:cs="Arial"/>
          <w:sz w:val="21"/>
          <w:szCs w:val="21"/>
        </w:rPr>
        <w:t>browser based</w:t>
      </w:r>
      <w:r>
        <w:rPr>
          <w:rFonts w:ascii="Arial" w:hAnsi="Arial" w:cs="Arial"/>
          <w:sz w:val="21"/>
          <w:szCs w:val="21"/>
        </w:rPr>
        <w:t xml:space="preserve">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w:t>
      </w:r>
      <w:r>
        <w:rPr>
          <w:rFonts w:ascii="Arial" w:hAnsi="Arial" w:cs="Arial"/>
          <w:sz w:val="21"/>
          <w:szCs w:val="21"/>
        </w:rPr>
        <w:t>i</w:t>
      </w:r>
      <w:r>
        <w:rPr>
          <w:rFonts w:ascii="Arial" w:hAnsi="Arial" w:cs="Arial"/>
          <w:sz w:val="21"/>
          <w:szCs w:val="21"/>
        </w:rPr>
        <w:t xml:space="preserve">) place any cookie that is associated as a </w:t>
      </w:r>
      <w:r>
        <w:rPr>
          <w:rFonts w:ascii="Arial" w:hAnsi="Arial" w:cs="Arial"/>
          <w:sz w:val="21"/>
          <w:szCs w:val="21"/>
        </w:rPr>
        <w:t>LargeCo</w:t>
      </w:r>
      <w:r>
        <w:rPr>
          <w:rFonts w:ascii="Arial" w:hAnsi="Arial" w:cs="Arial"/>
          <w:sz w:val="21"/>
          <w:szCs w:val="21"/>
        </w:rPr>
        <w:t xml:space="preserve"> domain cookie; (ii) place a cookie 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w:t>
      </w:r>
      <w:r>
        <w:rPr>
          <w:rFonts w:ascii="Arial" w:hAnsi="Arial" w:cs="Arial"/>
          <w:sz w:val="21"/>
          <w:szCs w:val="21"/>
        </w:rPr>
        <w:t>userID</w:t>
      </w:r>
      <w:r>
        <w:rPr>
          <w:rFonts w:ascii="Arial" w:hAnsi="Arial" w:cs="Arial"/>
          <w:sz w:val="21"/>
          <w:szCs w:val="21"/>
        </w:rPr>
        <w:t xml:space="preserve">,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w:t>
      </w:r>
      <w:r>
        <w:rPr>
          <w:rFonts w:ascii="Arial" w:hAnsi="Arial" w:cs="Arial"/>
          <w:sz w:val="21"/>
          <w:szCs w:val="21"/>
        </w:rPr>
        <w:t>javascript</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2A4EA14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PCI DSS Compliance</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both electronic and physical form, and that it shall undergo independent, third-party quarterly system vulnerability scans.  </w:t>
      </w:r>
      <w:r>
        <w:rPr>
          <w:rFonts w:ascii="Arial" w:hAnsi="Arial" w:cs="Arial"/>
          <w:sz w:val="21"/>
          <w:szCs w:val="21"/>
        </w:rPr>
        <w:t>Provider</w:t>
      </w:r>
      <w:r>
        <w:rPr>
          <w:rFonts w:ascii="Arial" w:hAnsi="Arial" w:cs="Arial"/>
          <w:sz w:val="21"/>
          <w:szCs w:val="21"/>
        </w:rPr>
        <w:t xml:space="preserve"> shall promptly provide, at the request of the </w:t>
      </w:r>
      <w:r>
        <w:rPr>
          <w:rFonts w:ascii="Arial" w:hAnsi="Arial" w:cs="Arial"/>
          <w:sz w:val="21"/>
          <w:szCs w:val="21"/>
        </w:rPr>
        <w:t>LargeCo</w:t>
      </w:r>
      <w:r>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Pr>
          <w:rFonts w:ascii="Arial" w:hAnsi="Arial" w:cs="Arial"/>
          <w:sz w:val="21"/>
          <w:szCs w:val="21"/>
        </w:rPr>
        <w:t xml:space="preserve"> acknowledges that Confidential Information disclosed by </w:t>
      </w:r>
      <w:r>
        <w:rPr>
          <w:rFonts w:ascii="Arial" w:hAnsi="Arial" w:cs="Arial"/>
          <w:sz w:val="21"/>
          <w:szCs w:val="21"/>
        </w:rPr>
        <w:t>LargeCo</w:t>
      </w:r>
      <w:r>
        <w:rPr>
          <w:rFonts w:ascii="Arial" w:hAnsi="Arial" w:cs="Arial"/>
          <w:sz w:val="21"/>
          <w:szCs w:val="21"/>
        </w:rPr>
        <w:t xml:space="preserve"> to </w:t>
      </w:r>
      <w:r>
        <w:rPr>
          <w:rFonts w:ascii="Arial" w:hAnsi="Arial" w:cs="Arial"/>
          <w:sz w:val="21"/>
          <w:szCs w:val="21"/>
        </w:rPr>
        <w:t>Provider</w:t>
      </w:r>
      <w:r>
        <w:rPr>
          <w:rFonts w:ascii="Arial" w:hAnsi="Arial" w:cs="Arial"/>
          <w:sz w:val="21"/>
          <w:szCs w:val="21"/>
        </w:rPr>
        <w:t xml:space="preserve"> includes “cardholder data” and “sensitive authentication data” (as each such term is used in the PCI DSS</w:t>
      </w:r>
      <w:r>
        <w:rPr>
          <w:rFonts w:ascii="Arial" w:hAnsi="Arial" w:cs="Arial"/>
          <w:sz w:val="21"/>
          <w:szCs w:val="21"/>
        </w:rPr>
        <w:t>), and</w:t>
      </w:r>
      <w:r>
        <w:rPr>
          <w:rFonts w:ascii="Arial" w:hAnsi="Arial" w:cs="Arial"/>
          <w:sz w:val="21"/>
          <w:szCs w:val="21"/>
        </w:rPr>
        <w:t xml:space="preserve"> further acknowledges that it is responsible for the security of such Confidential Information in its possession or under its control.   If during the term of the Agreement, </w:t>
      </w:r>
      <w:r>
        <w:rPr>
          <w:rFonts w:ascii="Arial" w:hAnsi="Arial" w:cs="Arial"/>
          <w:sz w:val="21"/>
          <w:szCs w:val="21"/>
        </w:rPr>
        <w:t>Provider</w:t>
      </w:r>
      <w:r>
        <w:rPr>
          <w:rFonts w:ascii="Arial" w:hAnsi="Arial" w:cs="Arial"/>
          <w:sz w:val="21"/>
          <w:szCs w:val="21"/>
        </w:rPr>
        <w:t xml:space="preserve"> undergoes, or has reason to believe that it will undergo, an adverse change in its certification or compliance status with the PCI DSS, it will promptly notify </w:t>
      </w:r>
      <w:r>
        <w:rPr>
          <w:rFonts w:ascii="Arial" w:hAnsi="Arial" w:cs="Arial"/>
          <w:sz w:val="21"/>
          <w:szCs w:val="21"/>
        </w:rPr>
        <w:t>LargeCo</w:t>
      </w:r>
      <w:r>
        <w:rPr>
          <w:rFonts w:ascii="Arial" w:hAnsi="Arial" w:cs="Arial"/>
          <w:sz w:val="21"/>
          <w:szCs w:val="21"/>
        </w:rPr>
        <w:t xml:space="preserve"> of such circumstances.  </w:t>
      </w:r>
      <w:r>
        <w:rPr>
          <w:rFonts w:ascii="Arial" w:hAnsi="Arial" w:cs="Arial"/>
          <w:sz w:val="21"/>
          <w:szCs w:val="21"/>
        </w:rPr>
        <w:t>Provider</w:t>
      </w:r>
      <w:r>
        <w:rPr>
          <w:rFonts w:ascii="Arial" w:hAnsi="Arial" w:cs="Arial"/>
          <w:sz w:val="21"/>
          <w:szCs w:val="21"/>
        </w:rPr>
        <w:t xml:space="preserve"> further represents and warrants that it shall not take any actions that will compromise the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ability to comply with the PCI DSS. </w:t>
      </w:r>
      <w:r>
        <w:rPr>
          <w:rFonts w:ascii="Arial" w:hAnsi="Arial" w:cs="Arial"/>
          <w:sz w:val="21"/>
          <w:szCs w:val="21"/>
        </w:rPr>
        <w:t>Provider</w:t>
      </w:r>
      <w:r>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Pr>
          <w:rFonts w:ascii="Arial" w:hAnsi="Arial" w:cs="Arial"/>
          <w:sz w:val="21"/>
          <w:szCs w:val="21"/>
        </w:rPr>
        <w:t>DSS.</w:t>
      </w:r>
    </w:p>
    <w:p w14:paraId="02907032" w14:textId="020406A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w:t>
      </w:r>
      <w:r>
        <w:rPr>
          <w:rFonts w:ascii="Arial" w:hAnsi="Arial" w:cs="Arial"/>
          <w:bCs/>
          <w:sz w:val="21"/>
          <w:szCs w:val="21"/>
        </w:rPr>
        <w:t>i</w:t>
      </w:r>
      <w:r>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r>
        <w:rPr>
          <w:rFonts w:ascii="Arial" w:hAnsi="Arial" w:cs="Arial"/>
          <w:bCs/>
          <w:sz w:val="21"/>
          <w:szCs w:val="21"/>
        </w:rPr>
        <w:t>In the event that</w:t>
      </w:r>
      <w:r>
        <w:rPr>
          <w:rFonts w:ascii="Arial" w:hAnsi="Arial" w:cs="Arial"/>
          <w:bCs/>
          <w:sz w:val="21"/>
          <w:szCs w:val="21"/>
        </w:rPr>
        <w:t xml:space="preserve"> this Agreement, or any actions to be taken or contemplated to be taken in performance of this Agreement, do not or would not satisfy either </w:t>
      </w:r>
      <w:bookmarkStart w:id="25" w:name="_Hlk102145032"/>
      <w:r>
        <w:rPr>
          <w:rFonts w:ascii="Arial" w:hAnsi="Arial" w:cs="Arial"/>
          <w:bCs/>
          <w:sz w:val="21"/>
          <w:szCs w:val="21"/>
        </w:rPr>
        <w:t xml:space="preserve">party’s obligations under the laws applicable to each party, the parties will negotiate in good faith upon an appropriate amendment to this Agreement.  </w:t>
      </w:r>
      <w:r>
        <w:rPr>
          <w:rFonts w:ascii="Arial" w:hAnsi="Arial" w:cs="Arial"/>
          <w:bCs/>
          <w:sz w:val="21"/>
          <w:szCs w:val="21"/>
        </w:rPr>
        <w:t>In the event that</w:t>
      </w:r>
      <w:r>
        <w:rPr>
          <w:rFonts w:ascii="Arial" w:hAnsi="Arial" w:cs="Arial"/>
          <w:bCs/>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w:t>
      </w:r>
      <w:r>
        <w:rPr>
          <w:rFonts w:ascii="Arial" w:hAnsi="Arial" w:cs="Arial"/>
          <w:bCs/>
          <w:sz w:val="21"/>
          <w:szCs w:val="21"/>
        </w:rPr>
        <w:t xml:space="preserve">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25"/>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0"/>
      <w:headerReference w:type="default" r:id="rId11"/>
      <w:headerReference w:type="first" r:id="rId14"/>
      <w:footerReference w:type="even" r:id="rId12"/>
      <w:footerReference w:type="default" r:id="rId13"/>
      <w:foot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2C611F8A" w14:textId="77777777">
      <w:r>
        <w:separator/>
      </w:r>
    </w:p>
  </w:endnote>
  <w:endnote w:type="continuationSeparator" w:id="0">
    <w:p w14:paraId="1A5869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5759D8A2" w14:textId="77777777">
      <w:r>
        <w:separator/>
      </w:r>
    </w:p>
  </w:footnote>
  <w:footnote w:type="continuationSeparator" w:id="0">
    <w:p w14:paraId="0FF8A6DA"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61"/>
  <w:proofState w:spelling="clean" w:grammar="clean"/>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11895</Words>
  <Characters>77206</Characters>
  <Application>Microsoft Office Word</Application>
  <DocSecurity>0</DocSecurity>
  <Lines>1883</Lines>
  <Paragraphs>1188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