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r>
        <w:t xml:space="preserve">Then alpha“gamma again. Then alpha”gamma again. Then alpha—gamma again. Then alpha–gamma again. Then alpha§gamma again. Then alpha¶gamma again. Then alpha•gamma again. Then alpha…gamma again. Then alpha«gamma again. Then alpha»gamma again. Then alpha gamma again. Then alpha×gamma again. Then alpha‘gamma again. Then alpha·gamma again. Then alpha°gamma again. Then alpha©gamma again.</w:t>
      </w:r>
    </w:p>
    <w:sectPr>
      <w:pgSz w:w="12240" w:h="15840"/>
      <w:pgMar w:top="1440" w:right="1440" w:bottom="1440" w:left="1440" w:header="720" w:footer="720" w:gutter="0"/>
    </w:sectPr>
  </w:body>
</w:document>
</file>

<file path=word/settings.xml><?xml version="1.0" encoding="utf-8"?>
<w:settings xmlns:w="http://schemas.openxmlformats.org/wordprocessingml/2006/main">
  <w:compat>
    <w:compatSetting w:name="compatibilityMode" w:uri="http://schemas.microsoft.com/office/word" w:val="15"/>
  </w:compat>
</w:settings>
</file>

<file path=word/_rels/document.xml.rels><?xml version="1.0" encoding="UTF-8" standalone="yes"?><Relationships xmlns="http://schemas.openxmlformats.org/package/2006/relationships"><Relationship Id="rId8" Type="http://schemas.openxmlformats.org/officeDocument/2006/relationships/settings" Target="settings.xml"/></Relationships>
</file>