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Annual Maintenance Statement</w:t>
      </w:r>
    </w:p>
    <w:p>
      <w:r>
        <w:t xml:space="preserve">Prepared for Halyard Press, Inc., 3 March 2026. This statement covers the</w:t>
      </w:r>
      <w:r>
        <w:t xml:space="preserve"> </w:t>
      </w:r>
      <w:r>
        <w:t xml:space="preserve">maintenance subscription attached to master services agreement 2026-04</w:t>
      </w:r>
      <w:r>
        <w:t xml:space="preserve"> </w:t>
      </w:r>
      <w:r>
        <w:t xml:space="preserve">and lists every intervention charged during the reporting year.</w:t>
      </w:r>
    </w:p>
    <w:p>
      <w:pPr>
        <w:pStyle w:val="Heading2"/>
      </w:pPr>
      <w:r>
        <w:t xml:space="preserve">1. Summary of the year</w:t>
      </w:r>
    </w:p>
    <w:p>
      <w:r>
        <w:t xml:space="preserve">The redline engine ran in production at Halyard from 14 April without an</w:t>
      </w:r>
      <w:r>
        <w:t xml:space="preserve"> </w:t>
      </w:r>
      <w:r>
        <w:t xml:space="preserve">unplanned outage. Forty-one change sets were reviewed through the</w:t>
      </w:r>
      <w:r>
        <w:t xml:space="preserve"> </w:t>
      </w:r>
      <w:r>
        <w:t xml:space="preserve">engine; thirty-eight were accepted as proposed, two were returned for</w:t>
      </w:r>
      <w:r>
        <w:t xml:space="preserve"> </w:t>
      </w:r>
      <w:r>
        <w:t xml:space="preserve">reworded clauses, and one was withdrawn by the requester. The two</w:t>
      </w:r>
      <w:r>
        <w:t xml:space="preserve"> </w:t>
      </w:r>
      <w:r>
        <w:t xml:space="preserve">returned sets were resubmitted and accepted within the same working day.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</w:tcPr>
          <w:p>
            <w:r>
              <w:t xml:space="preserve">Quarter</w:t>
            </w:r>
          </w:p>
        </w:tc>
        <w:tc>
          <w:tcPr>
            <w:tcW w:w="1872" w:type="dxa"/>
          </w:tcPr>
          <w:p>
            <w:r>
              <w:t xml:space="preserve">Change sets</w:t>
            </w:r>
          </w:p>
        </w:tc>
        <w:tc>
          <w:tcPr>
            <w:tcW w:w="1872" w:type="dxa"/>
          </w:tcPr>
          <w:p>
            <w:r>
              <w:t xml:space="preserve">Accepted</w:t>
            </w:r>
          </w:p>
        </w:tc>
        <w:tc>
          <w:tcPr>
            <w:tcW w:w="1872" w:type="dxa"/>
          </w:tcPr>
          <w:p>
            <w:r>
              <w:t xml:space="preserve">Returned</w:t>
            </w:r>
          </w:p>
        </w:tc>
        <w:tc>
          <w:tcPr>
            <w:tcW w:w="1872" w:type="dxa"/>
          </w:tcPr>
          <w:p>
            <w:r>
              <w:t xml:space="preserve">Withdrawn</w:t>
            </w:r>
          </w:p>
        </w:tc>
      </w:tr>
      <w:tr>
        <w:tc>
          <w:tcPr>
            <w:tcW w:w="1872" w:type="dxa"/>
          </w:tcPr>
          <w:p>
            <w:r>
              <w:t xml:space="preserve">Q1</w:t>
            </w:r>
          </w:p>
        </w:tc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  <w:tr>
        <w:tc>
          <w:tcPr>
            <w:tcW w:w="1872" w:type="dxa"/>
          </w:tcPr>
          <w:p>
            <w:r>
              <w:t xml:space="preserve">Q2</w:t>
            </w:r>
          </w:p>
        </w:tc>
        <w:tc>
          <w:tcPr>
            <w:tcW w:w="1872" w:type="dxa"/>
          </w:tcPr>
          <w:p>
            <w:r>
              <w:t xml:space="preserve">12</w:t>
            </w:r>
          </w:p>
        </w:tc>
        <w:tc>
          <w:tcPr>
            <w:tcW w:w="1872" w:type="dxa"/>
          </w:tcPr>
          <w:p>
            <w:r>
              <w:t xml:space="preserve">11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</w:tr>
      <w:tr>
        <w:tc>
          <w:tcPr>
            <w:tcW w:w="1872" w:type="dxa"/>
          </w:tcPr>
          <w:p>
            <w:r>
              <w:t xml:space="preserve">Q3</w:t>
            </w:r>
          </w:p>
        </w:tc>
        <w:tc>
          <w:tcPr>
            <w:tcW w:w="1872" w:type="dxa"/>
          </w:tcPr>
          <w:p>
            <w:r>
              <w:t xml:space="preserve">10</w:t>
            </w:r>
          </w:p>
        </w:tc>
        <w:tc>
          <w:tcPr>
            <w:tcW w:w="1872" w:type="dxa"/>
          </w:tcPr>
          <w:p>
            <w:r>
              <w:t xml:space="preserve">10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  <w:tr>
        <w:tc>
          <w:tcPr>
            <w:tcW w:w="1872" w:type="dxa"/>
          </w:tcPr>
          <w:p>
            <w:r>
              <w:t xml:space="preserve">Q4</w:t>
            </w:r>
          </w:p>
        </w:tc>
        <w:tc>
          <w:tcPr>
            <w:tcW w:w="1872" w:type="dxa"/>
          </w:tcPr>
          <w:p>
            <w:r>
              <w:t xml:space="preserve">10</w:t>
            </w:r>
          </w:p>
        </w:tc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t xml:space="preserve">2. Interventions</w:t>
      </w:r>
    </w:p>
    <w:p>
      <w:r>
        <w:t xml:space="preserve">Two interventions were chargeable under the maintenance terms. On 2 June</w:t>
      </w:r>
      <w:r>
        <w:t xml:space="preserve"> </w:t>
      </w:r>
      <w:r>
        <w:t xml:space="preserve">a header-footer regression reported by the corrections desk was traced</w:t>
      </w:r>
      <w:r>
        <w:t xml:space="preserve"> </w:t>
      </w:r>
      <w:r>
        <w:t xml:space="preserve">to a section break with an odd first-page header; the fix and its</w:t>
      </w:r>
      <w:r>
        <w:t xml:space="preserve"> </w:t>
      </w:r>
      <w:r>
        <w:t xml:space="preserve">regression test shipped the same week. On 19 September a batch of</w:t>
      </w:r>
      <w:r>
        <w:t xml:space="preserve"> </w:t>
      </w:r>
      <w:r>
        <w:t xml:space="preserve">scanned legacy agreements required a one-off font mapping for a</w:t>
      </w:r>
      <w:r>
        <w:t xml:space="preserve"> </w:t>
      </w:r>
      <w:r>
        <w:t xml:space="preserve">discontinued foundry face; the mapping table was added to the site</w:t>
      </w:r>
      <w:r>
        <w:t xml:space="preserve"> </w:t>
      </w:r>
      <w:r>
        <w:t xml:space="preserve">configuration and documented in the runbook.</w:t>
      </w:r>
    </w:p>
    <w:p>
      <w:r>
        <w:t xml:space="preserve">Neither intervention exceeded the four-hour allowance included in each</w:t>
      </w:r>
      <w:r>
        <w:t xml:space="preserve"> </w:t>
      </w:r>
      <w:r>
        <w:t xml:space="preserve">quarter, so only the base subscription was invoiced. The quarterly</w:t>
      </w:r>
      <w:r>
        <w:t xml:space="preserve"> </w:t>
      </w:r>
      <w:r>
        <w:t xml:space="preserve">invoices of 1,900.00 USD each are reconciled in section 4.</w:t>
      </w:r>
    </w:p>
    <w:p>
      <w:pPr>
        <w:pStyle w:val="Heading2"/>
      </w:pPr>
      <w:r>
        <w:t xml:space="preserve">3. Usage detail</w:t>
      </w:r>
    </w:p>
    <w:p>
      <w:r>
        <w:t xml:space="preserve">The engine averaged 217 comparisons per working day, with a peak of 640</w:t>
      </w:r>
      <w:r>
        <w:t xml:space="preserve"> </w:t>
      </w:r>
      <w:r>
        <w:t xml:space="preserve">on 30 September, the day the quarterly filings were assembled. Median</w:t>
      </w:r>
      <w:r>
        <w:t xml:space="preserve"> </w:t>
      </w:r>
      <w:r>
        <w:t xml:space="preserve">turnaround from upload to reviewed redline was 41 seconds. The five most</w:t>
      </w:r>
      <w:r>
        <w:t xml:space="preserve"> </w:t>
      </w:r>
      <w:r>
        <w:t xml:space="preserve">compared counterparty forms during the year were the standard supply</w:t>
      </w:r>
      <w:r>
        <w:t xml:space="preserve"> </w:t>
      </w:r>
      <w:r>
        <w:t xml:space="preserve">agreement, the mutual NDA, the consulting services order, the software</w:t>
      </w:r>
      <w:r>
        <w:t xml:space="preserve"> </w:t>
      </w:r>
      <w:r>
        <w:t xml:space="preserve">licence, and the press distribution agreement, in that order.</w:t>
      </w:r>
    </w:p>
    <w:p>
      <w:r>
        <w:t xml:space="preserve">The corrections desk submitted 26 of the 41 change sets; legal operations</w:t>
      </w:r>
      <w:r>
        <w:t xml:space="preserve"> </w:t>
      </w:r>
      <w:r>
        <w:t xml:space="preserve">submitted 11; the remainder came from the commercial team. No submission</w:t>
      </w:r>
      <w:r>
        <w:t xml:space="preserve"> </w:t>
      </w:r>
      <w:r>
        <w:t xml:space="preserve">was rejected for a malformed document during the year, and no submission</w:t>
      </w:r>
      <w:r>
        <w:t xml:space="preserve"> </w:t>
      </w:r>
      <w:r>
        <w:t xml:space="preserve">required manual re-entry of tracked changes.</w:t>
      </w:r>
    </w:p>
    <w:p>
      <w:pPr>
        <w:pStyle w:val="Heading2"/>
      </w:pPr>
      <w:r>
        <w:t xml:space="preserve">4. Reconciliation and renewal</w:t>
      </w:r>
    </w:p>
    <w:p>
      <w:r>
        <w:t xml:space="preserve">Invoices issued: four quarterly invoices of 1,900.00 USD, totaling</w:t>
      </w:r>
      <w:r>
        <w:t xml:space="preserve"> </w:t>
      </w:r>
      <w:r>
        <w:t xml:space="preserve">7,600.00 USD, all paid within terms. The subscription renews on 1 April</w:t>
      </w:r>
      <w:r>
        <w:t xml:space="preserve"> </w:t>
      </w:r>
      <w:r>
        <w:t xml:space="preserve">at the same rate if written notice is not given by 18 March. The table</w:t>
      </w:r>
      <w:r>
        <w:t xml:space="preserve"> </w:t>
      </w:r>
      <w:r>
        <w:t xml:space="preserve">below restates the year as invoiced: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</w:tcPr>
          <w:p>
            <w:r>
              <w:t xml:space="preserve">Invoice</w:t>
            </w:r>
          </w:p>
        </w:tc>
        <w:tc>
          <w:tcPr>
            <w:tcW w:w="2340" w:type="dxa"/>
          </w:tcPr>
          <w:p>
            <w:r>
              <w:t xml:space="preserve">Date</w:t>
            </w:r>
          </w:p>
        </w:tc>
        <w:tc>
          <w:tcPr>
            <w:tcW w:w="2340" w:type="dxa"/>
          </w:tcPr>
          <w:p>
            <w:r>
              <w:t xml:space="preserve">Amount (USD)</w:t>
            </w:r>
          </w:p>
        </w:tc>
        <w:tc>
          <w:tcPr>
            <w:tcW w:w="2340" w:type="dxa"/>
          </w:tcPr>
          <w:p>
            <w:r>
              <w:t xml:space="preserve">Paid</w:t>
            </w:r>
          </w:p>
        </w:tc>
      </w:tr>
      <w:tr>
        <w:tc>
          <w:tcPr>
            <w:tcW w:w="2340" w:type="dxa"/>
          </w:tcPr>
          <w:p>
            <w:r>
              <w:t xml:space="preserve">MA-2026-114</w:t>
            </w:r>
          </w:p>
        </w:tc>
        <w:tc>
          <w:tcPr>
            <w:tcW w:w="2340" w:type="dxa"/>
          </w:tcPr>
          <w:p>
            <w:r>
              <w:t xml:space="preserve">5 April</w:t>
            </w:r>
          </w:p>
        </w:tc>
        <w:tc>
          <w:tcPr>
            <w:tcW w:w="2340" w:type="dxa"/>
          </w:tcPr>
          <w:p>
            <w:r>
              <w:t xml:space="preserve">1,900.00</w:t>
            </w:r>
          </w:p>
        </w:tc>
        <w:tc>
          <w:tcPr>
            <w:tcW w:w="2340" w:type="dxa"/>
          </w:tcPr>
          <w:p>
            <w:r>
              <w:t xml:space="preserve">30 April</w:t>
            </w:r>
          </w:p>
        </w:tc>
      </w:tr>
      <w:tr>
        <w:tc>
          <w:tcPr>
            <w:tcW w:w="2340" w:type="dxa"/>
          </w:tcPr>
          <w:p>
            <w:r>
              <w:t xml:space="preserve">MA-2026-241</w:t>
            </w:r>
          </w:p>
        </w:tc>
        <w:tc>
          <w:tcPr>
            <w:tcW w:w="2340" w:type="dxa"/>
          </w:tcPr>
          <w:p>
            <w:r>
              <w:t xml:space="preserve">5 July</w:t>
            </w:r>
          </w:p>
        </w:tc>
        <w:tc>
          <w:tcPr>
            <w:tcW w:w="2340" w:type="dxa"/>
          </w:tcPr>
          <w:p>
            <w:r>
              <w:t xml:space="preserve">1,900.00</w:t>
            </w:r>
          </w:p>
        </w:tc>
        <w:tc>
          <w:tcPr>
            <w:tcW w:w="2340" w:type="dxa"/>
          </w:tcPr>
          <w:p>
            <w:r>
              <w:t xml:space="preserve">28 July</w:t>
            </w:r>
          </w:p>
        </w:tc>
      </w:tr>
      <w:tr>
        <w:tc>
          <w:tcPr>
            <w:tcW w:w="2340" w:type="dxa"/>
          </w:tcPr>
          <w:p>
            <w:r>
              <w:t xml:space="preserve">MA-2026-318</w:t>
            </w:r>
          </w:p>
        </w:tc>
        <w:tc>
          <w:tcPr>
            <w:tcW w:w="2340" w:type="dxa"/>
          </w:tcPr>
          <w:p>
            <w:r>
              <w:t xml:space="preserve">5 October</w:t>
            </w:r>
          </w:p>
        </w:tc>
        <w:tc>
          <w:tcPr>
            <w:tcW w:w="2340" w:type="dxa"/>
          </w:tcPr>
          <w:p>
            <w:r>
              <w:t xml:space="preserve">1,900.00</w:t>
            </w:r>
          </w:p>
        </w:tc>
        <w:tc>
          <w:tcPr>
            <w:tcW w:w="2340" w:type="dxa"/>
          </w:tcPr>
          <w:p>
            <w:r>
              <w:t xml:space="preserve">27 October</w:t>
            </w:r>
          </w:p>
        </w:tc>
      </w:tr>
      <w:tr>
        <w:tc>
          <w:tcPr>
            <w:tcW w:w="2340" w:type="dxa"/>
          </w:tcPr>
          <w:p>
            <w:r>
              <w:t xml:space="preserve">MA-2026-402</w:t>
            </w:r>
          </w:p>
        </w:tc>
        <w:tc>
          <w:tcPr>
            <w:tcW w:w="2340" w:type="dxa"/>
          </w:tcPr>
          <w:p>
            <w:r>
              <w:t xml:space="preserve">5 January</w:t>
            </w:r>
          </w:p>
        </w:tc>
        <w:tc>
          <w:tcPr>
            <w:tcW w:w="2340" w:type="dxa"/>
          </w:tcPr>
          <w:p>
            <w:r>
              <w:t xml:space="preserve">1,900.00</w:t>
            </w:r>
          </w:p>
        </w:tc>
        <w:tc>
          <w:tcPr>
            <w:tcW w:w="2340" w:type="dxa"/>
          </w:tcPr>
          <w:p>
            <w:r>
              <w:t xml:space="preserve">24 January</w:t>
            </w:r>
          </w:p>
        </w:tc>
      </w:tr>
    </w:tbl>
    <w:p>
      <w:r>
        <w:t xml:space="preserve">We recommend renewal without change to the terms. The engine's redlines</w:t>
      </w:r>
      <w:r>
        <w:t xml:space="preserve"> </w:t>
      </w:r>
      <w:r>
        <w:t xml:space="preserve">were accepted as proposed in 38 of 41 change sets this year, and the two</w:t>
      </w:r>
      <w:r>
        <w:t xml:space="preserve"> </w:t>
      </w:r>
      <w:r>
        <w:t xml:space="preserve">layout regressions reported against Word 365 builds were resolved under</w:t>
      </w:r>
      <w:r>
        <w:t xml:space="preserve"> </w:t>
      </w:r>
      <w:r>
        <w:t xml:space="preserve">the maintenance allowance within the same week in both cases.</w:t>
      </w:r>
    </w:p>
    <w:p>
      <w:r>
        <w:rPr>
          <w:i/>
          <w:iCs/>
        </w:rPr>
        <w:t xml:space="preserve">The Jandira maintenance team</w:t>
      </w:r>
    </w:p>
    <w:p>
      <w:pPr>
        <w:pStyle w:val="Heading2"/>
      </w:pPr>
      <w:r>
        <w:t xml:space="preserve">5. Planned work for the coming year</w:t>
      </w:r>
    </w:p>
    <w:p>
      <w:r>
        <w:t xml:space="preserve">The renewal year carries three planned improvements at no extra charge.</w:t>
      </w:r>
      <w:r>
        <w:t xml:space="preserve"> </w:t>
      </w:r>
      <w:r>
        <w:t xml:space="preserve">First, the fixture corpus gains the counterparty forms added to the</w:t>
      </w:r>
      <w:r>
        <w:t xml:space="preserve"> </w:t>
      </w:r>
      <w:r>
        <w:t xml:space="preserve">Halyard library since April, so parity checks cover the documents the</w:t>
      </w:r>
      <w:r>
        <w:t xml:space="preserve"> </w:t>
      </w:r>
      <w:r>
        <w:t xml:space="preserve">desk actually compares. Second, the font mapping table becomes a managed</w:t>
      </w:r>
      <w:r>
        <w:t xml:space="preserve"> </w:t>
      </w:r>
      <w:r>
        <w:t xml:space="preserve">artifact with its own version history, reviewed at each quarterly check-in.</w:t>
      </w:r>
      <w:r>
        <w:t xml:space="preserve"> </w:t>
      </w:r>
      <w:r>
        <w:t xml:space="preserve">Third, the comparison report gains a per-change summary line suitable for</w:t>
      </w:r>
      <w:r>
        <w:t xml:space="preserve"> </w:t>
      </w:r>
      <w:r>
        <w:t xml:space="preserve">inclusion in the corrections desk's case notes, removing a manual copy</w:t>
      </w:r>
      <w:r>
        <w:t xml:space="preserve"> </w:t>
      </w:r>
      <w:r>
        <w:t xml:space="preserve">step that today follows roughly one review in five.</w:t>
      </w:r>
    </w:p>
    <w:p>
      <w:r>
        <w:t xml:space="preserve">Beyond the planned work, Jandira will keep the engine within one page of</w:t>
      </w:r>
      <w:r>
        <w:t xml:space="preserve"> </w:t>
      </w:r>
      <w:r>
        <w:t xml:space="preserve">Microsoft Word on documents up to the densities seen this year, will</w:t>
      </w:r>
      <w:r>
        <w:t xml:space="preserve"> </w:t>
      </w:r>
      <w:r>
        <w:t xml:space="preserve">answer regression reports within one business day, and will apply the</w:t>
      </w:r>
      <w:r>
        <w:t xml:space="preserve"> </w:t>
      </w:r>
      <w:r>
        <w:t xml:space="preserve">four-hour quarterly allowance before any chargeable time is proposed.</w:t>
      </w:r>
      <w:r>
        <w:t xml:space="preserve"> </w:t>
      </w:r>
      <w:r>
        <w:t xml:space="preserve">Any chargeable work beyond the allowance is quoted in advance and never</w:t>
      </w:r>
      <w:r>
        <w:t xml:space="preserve"> </w:t>
      </w:r>
      <w:r>
        <w:t xml:space="preserve">invoiced without written acceptance.</w:t>
      </w:r>
    </w:p>
    <w:p>
      <w:pPr>
        <w:pStyle w:val="Heading2"/>
      </w:pPr>
      <w:r>
        <w:t xml:space="preserve">6. Contacts</w:t>
      </w:r>
    </w:p>
    <w:p>
      <w:r>
        <w:t xml:space="preserve">For technical matters, the maintenance address reaches the on-call</w:t>
      </w:r>
      <w:r>
        <w:t xml:space="preserve"> </w:t>
      </w:r>
      <w:r>
        <w:t xml:space="preserve">engineer directly during Halyard's business hours. For invoicing and</w:t>
      </w:r>
      <w:r>
        <w:t xml:space="preserve"> </w:t>
      </w:r>
      <w:r>
        <w:t xml:space="preserve">renewal, write to the accounts desk. The runbook, the fixture inventory</w:t>
      </w:r>
      <w:r>
        <w:t xml:space="preserve"> </w:t>
      </w:r>
      <w:r>
        <w:t xml:space="preserve">and the mapping table remain available to Halyard staff at the addresses</w:t>
      </w:r>
      <w:r>
        <w:t xml:space="preserve"> </w:t>
      </w:r>
      <w:r>
        <w:t xml:space="preserve">recorded in the original handover note of 8 April.</w:t>
      </w:r>
    </w:p>
    <w:p>
      <w:r>
        <w:rPr>
          <w:i/>
          <w:iCs/>
        </w:rPr>
        <w:t xml:space="preserve">Signed for Jandira Technologies, LLC, 3 March 2026.</w:t>
      </w:r>
    </w:p>
    <w:p>
      <w:pPr>
        <w:pStyle w:val="Heading2"/>
      </w:pPr>
      <w:r>
        <w:t xml:space="preserve">Appendix A. Change sets by counterparty form</w:t>
      </w:r>
    </w:p>
    <w:p>
      <w:r>
        <w:t xml:space="preserve">The table below restates the year's 41 change sets by counterparty form</w:t>
      </w:r>
      <w:r>
        <w:t xml:space="preserve"> </w:t>
      </w:r>
      <w:r>
        <w:t xml:space="preserve">and outcome, as recorded by the engine at acceptance time. The desk can</w:t>
      </w:r>
      <w:r>
        <w:t xml:space="preserve"> </w:t>
      </w:r>
      <w:r>
        <w:t xml:space="preserve">reconcile these rows against case notes using the engine's per-review</w:t>
      </w:r>
      <w:r>
        <w:t xml:space="preserve"> </w:t>
      </w:r>
      <w:r>
        <w:t xml:space="preserve">identifiers, which are stable across reruns of the same pair.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</w:tcPr>
          <w:p>
            <w:r>
              <w:t xml:space="preserve">Form</w:t>
            </w:r>
          </w:p>
        </w:tc>
        <w:tc>
          <w:tcPr>
            <w:tcW w:w="1872" w:type="dxa"/>
          </w:tcPr>
          <w:p>
            <w:r>
              <w:t xml:space="preserve">Sets</w:t>
            </w:r>
          </w:p>
        </w:tc>
        <w:tc>
          <w:tcPr>
            <w:tcW w:w="1872" w:type="dxa"/>
          </w:tcPr>
          <w:p>
            <w:r>
              <w:t xml:space="preserve">Accepted</w:t>
            </w:r>
          </w:p>
        </w:tc>
        <w:tc>
          <w:tcPr>
            <w:tcW w:w="1872" w:type="dxa"/>
          </w:tcPr>
          <w:p>
            <w:r>
              <w:t xml:space="preserve">Returned</w:t>
            </w:r>
          </w:p>
        </w:tc>
        <w:tc>
          <w:tcPr>
            <w:tcW w:w="1872" w:type="dxa"/>
          </w:tcPr>
          <w:p>
            <w:r>
              <w:t xml:space="preserve">Withdrawn</w:t>
            </w:r>
          </w:p>
        </w:tc>
      </w:tr>
      <w:tr>
        <w:tc>
          <w:tcPr>
            <w:tcW w:w="1872" w:type="dxa"/>
          </w:tcPr>
          <w:p>
            <w:r>
              <w:t xml:space="preserve">Standard supply agreement</w:t>
            </w:r>
          </w:p>
        </w:tc>
        <w:tc>
          <w:tcPr>
            <w:tcW w:w="1872" w:type="dxa"/>
          </w:tcPr>
          <w:p>
            <w:r>
              <w:t xml:space="preserve">11</w:t>
            </w:r>
          </w:p>
        </w:tc>
        <w:tc>
          <w:tcPr>
            <w:tcW w:w="1872" w:type="dxa"/>
          </w:tcPr>
          <w:p>
            <w:r>
              <w:t xml:space="preserve">10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  <w:tr>
        <w:tc>
          <w:tcPr>
            <w:tcW w:w="1872" w:type="dxa"/>
          </w:tcPr>
          <w:p>
            <w:r>
              <w:t xml:space="preserve">Mutual NDA</w:t>
            </w:r>
          </w:p>
        </w:tc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9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  <w:tr>
        <w:tc>
          <w:tcPr>
            <w:tcW w:w="1872" w:type="dxa"/>
          </w:tcPr>
          <w:p>
            <w:r>
              <w:t xml:space="preserve">Consulting services order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  <w:tc>
          <w:tcPr>
            <w:tcW w:w="1872" w:type="dxa"/>
          </w:tcPr>
          <w:p>
            <w:r>
              <w:t xml:space="preserve">8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  <w:tr>
        <w:tc>
          <w:tcPr>
            <w:tcW w:w="1872" w:type="dxa"/>
          </w:tcPr>
          <w:p>
            <w:r>
              <w:t xml:space="preserve">Software licence</w:t>
            </w:r>
          </w:p>
        </w:tc>
        <w:tc>
          <w:tcPr>
            <w:tcW w:w="1872" w:type="dxa"/>
          </w:tcPr>
          <w:p>
            <w:r>
              <w:t xml:space="preserve">7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</w:tr>
      <w:tr>
        <w:tc>
          <w:tcPr>
            <w:tcW w:w="1872" w:type="dxa"/>
          </w:tcPr>
          <w:p>
            <w:r>
              <w:t xml:space="preserve">Press distribution agreement</w:t>
            </w:r>
          </w:p>
        </w:tc>
        <w:tc>
          <w:tcPr>
            <w:tcW w:w="1872" w:type="dxa"/>
          </w:tcPr>
          <w:p>
            <w:r>
              <w:t xml:space="preserve">6</w:t>
            </w:r>
          </w:p>
        </w:tc>
        <w:tc>
          <w:tcPr>
            <w:tcW w:w="1872" w:type="dxa"/>
          </w:tcPr>
          <w:p>
            <w:r>
              <w:t xml:space="preserve">5</w:t>
            </w:r>
          </w:p>
        </w:tc>
        <w:tc>
          <w:tcPr>
            <w:tcW w:w="1872" w:type="dxa"/>
          </w:tcPr>
          <w:p>
            <w:r>
              <w:t xml:space="preserve">1</w:t>
            </w:r>
          </w:p>
        </w:tc>
        <w:tc>
          <w:tcPr>
            <w:tcW w:w="1872" w:type="dxa"/>
          </w:tcPr>
          <w:p>
            <w:r>
              <w:t xml:space="preserve">0</w:t>
            </w:r>
          </w:p>
        </w:tc>
      </w:tr>
    </w:tbl>
    <w:p>
      <w:r>
        <w:t xml:space="preserve">No other form generated more than three change sets during the year.</w:t>
      </w:r>
      <w:r>
        <w:t xml:space="preserve"> </w:t>
      </w:r>
      <w:r>
        <w:t xml:space="preserve">Returned sets were resubmitted the same day in both cases, and the</w:t>
      </w:r>
      <w:r>
        <w:t xml:space="preserve"> </w:t>
      </w:r>
      <w:r>
        <w:t xml:space="preserve">withdrawn set concerned a counterparty that consolidated its paper</w:t>
      </w:r>
      <w:r>
        <w:t xml:space="preserve"> </w:t>
      </w:r>
      <w:r>
        <w:t xml:space="preserve">mid-review rather than any defect in the redline.</w:t>
      </w:r>
    </w:p>
    <w:p>
      <w:pPr>
        <w:pStyle w:val="Heading2"/>
      </w:pPr>
      <w:r>
        <w:t xml:space="preserve">Appendix B. Statement of assurance</w:t>
      </w:r>
    </w:p>
    <w:p>
      <w:r>
        <w:t xml:space="preserve">Jandira confirms that the figures in sections 1 and 4 were produced by</w:t>
      </w:r>
      <w:r>
        <w:t xml:space="preserve"> </w:t>
      </w:r>
      <w:r>
        <w:t xml:space="preserve">the engine's own reporting and reconciled against the invoicing ledger</w:t>
      </w:r>
      <w:r>
        <w:t xml:space="preserve"> </w:t>
      </w:r>
      <w:r>
        <w:t xml:space="preserve">on 1 March. The assurance covers the reporting year ending 29 February</w:t>
      </w:r>
      <w:r>
        <w:t xml:space="preserve"> </w:t>
      </w:r>
      <w:r>
        <w:t xml:space="preserve">and is given to support Halyard's internal audit of vendor statements.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80"/>
      <w:outlineLvl w:val="1"/>
    </w:pPr>
    <w:rPr>
      <w:b/>
      <w:bCs/>
      <w:sz w:val="28"/>
      <w:szCs w:val="28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