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Records Handling Addendum</w:t>
      </w:r>
    </w:p>
    <w:p>
      <w:r>
        <w:t xml:space="preserve">This Addendum governs the handling of Records under the Master Services</w:t>
      </w:r>
      <w:r>
        <w:t xml:space="preserve"> </w:t>
      </w:r>
      <w:r>
        <w:t xml:space="preserve">Agreement between the parties.</w:t>
      </w:r>
    </w:p>
    <w:p>
      <w:pPr>
        <w:pStyle w:val="Heading2"/>
      </w:pPr>
      <w:r>
        <w:t xml:space="preserve">Handling Rules</w:t>
      </w:r>
    </w:p>
    <w:p>
      <w:r>
        <w:t>The Advisor shall store the Records in a secure facility. The Custodian shall tag each Record with its classification level before storage. The Advisor shall log every access in the access register.</w:t>
      </w:r>
    </w:p>
    <w:p>
      <w:pPr>
        <w:pStyle w:val="Heading2"/>
      </w:pPr>
      <w:r>
        <w:t xml:space="preserve">Register Entries</w:t>
      </w:r>
    </w:p>
    <w:p>
      <w:r>
        <w:t xml:space="preserve">Each register entry records:</w:t>
      </w:r>
    </w:p>
    <w:p>
      <w:pPr>
        <w:pStyle w:val="ListParagraph"/>
        <w:numPr>
          <w:ilvl w:val="0"/>
          <w:numId w:val="1"/>
        </w:numPr>
      </w:pPr>
      <w:r>
        <w:t xml:space="preserve">the Record's identifier and classification level</w:t>
      </w:r>
    </w:p>
    <w:p>
      <w:pPr>
        <w:pStyle w:val="ListParagraph"/>
        <w:numPr>
          <w:ilvl w:val="0"/>
          <w:numId w:val="1"/>
        </w:numPr>
      </w:pPr>
      <w:r>
        <w:t xml:space="preserve">who accessed it, and when</w:t>
      </w:r>
    </w:p>
    <w:p>
      <w:pPr>
        <w:pStyle w:val="ListParagraph"/>
        <w:numPr>
          <w:ilvl w:val="0"/>
          <w:numId w:val="1"/>
        </w:numPr>
      </w:pPr>
      <w:r>
        <w:t xml:space="preserve">the custody chain for transferred Records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