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 Pro" w:hAnsi="Georgia Pro"/>
          <w:b/>
          <w:sz w:val="32"/>
        </w:rPr>
        <w:t>Font substitution probe</w:t>
      </w:r>
    </w:p>
    <w:p>
      <w:r>
        <w:rPr>
          <w:rFonts w:ascii="Garamond Premier Pro" w:hAnsi="Garamond Premier Pro"/>
          <w:sz w:val="22"/>
        </w:rPr>
        <w:t>This paragraph is set in Garamond Premier Pro, which is not installed on this machine. If the renderer substitutes it, the letterforms below will come from some other face, and a reader comparing the proof with the author's screen sees different type.</w:t>
      </w:r>
    </w:p>
    <w:p>
      <w:r>
        <w:rPr>
          <w:rFonts w:ascii="Fake Serif Pro" w:hAnsi="Fake Serif Pro"/>
          <w:sz w:val="22"/>
        </w:rPr>
        <w:t>This paragraph is set in Fake Serif Pro, a name that exists on no system at all. It is here to show what each tool does with a made-up font name rather than a real but absent one.</w:t>
      </w:r>
    </w:p>
    <w:p>
      <w:r>
        <w:rPr>
          <w:rFonts w:ascii="Calibri" w:hAnsi="Calibri"/>
          <w:sz w:val="22"/>
        </w:rPr>
        <w:t>This paragraph is set in Calibri, which is installed; it is the control. Whatever the tools report about the two paragraphs above, this one must come out unsubstituted.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