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Retainer Letter</w:t>
      </w:r>
    </w:p>
    <w:p>
      <w:r>
        <w:t xml:space="preserve">Jandira Technologies, LLC will advise Northwind Traders Ltd. on the</w:t>
      </w:r>
      <w:r>
        <w:t xml:space="preserve"> </w:t>
      </w:r>
      <w:r>
        <w:t xml:space="preserve">invoicing redesign under the terms below.</w:t>
      </w:r>
    </w:p>
    <w:p>
      <w:r>
        <w:t xml:space="preserve">The retainer covers four advisory sessions per month. Unused sessions</w:t>
      </w:r>
      <w:r>
        <w:t xml:space="preserve"> </w:t>
      </w:r>
      <w:r>
        <w:t xml:space="preserve">do not carry over.</w:t>
      </w:r>
    </w:p>
    <w:p>
      <w:r>
        <w:t xml:space="preserve">Either party may end the retainer with two weeks' written notice.</w:t>
      </w:r>
      <w:r>
        <w:t xml:space="preserve"> </w:t>
      </w:r>
      <w:r>
        <w:t xml:space="preserve">Invoices are payable within fifteen days of receipt.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