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docen Feature Showcase</w:t>
      </w:r>
    </w:p>
    <w:p>
      <w:pPr>
        <w:jc w:val="center"/>
      </w:pPr>
      <w:r>
        <w:rPr>
          <w:color w:val="595959"/>
          <w:spacing w:val="60"/>
        </w:rPr>
        <w:t xml:space="preserve">Canvas typesetting · Word-faithful layout · Fully editable</w:t>
      </w:r>
    </w:p>
    <w:p>
      <w:pPr>
        <w:pStyle w:val="Heading1"/>
      </w:pPr>
      <w:r>
        <w:t xml:space="preserve">Character Formatting</w:t>
      </w:r>
    </w:p>
    <w:p>
      <w:r>
        <w:t xml:space="preserve">This paragraph exercises character-level formatting: </w:t>
      </w:r>
      <w:r>
        <w:rPr>
          <w:b/>
        </w:rPr>
        <w:t xml:space="preserve">bold</w:t>
      </w:r>
      <w:r>
        <w:t xml:space="preserve">, </w:t>
      </w:r>
      <w:r>
        <w:rPr>
          <w:i/>
        </w:rPr>
        <w:t xml:space="preserve">italic</w:t>
      </w:r>
      <w:r>
        <w:t xml:space="preserve">, </w:t>
      </w:r>
      <w:r>
        <w:rPr>
          <w:u w:val="single"/>
        </w:rPr>
        <w:t xml:space="preserve">underline</w:t>
      </w:r>
      <w:r>
        <w:t xml:space="preserve">, </w:t>
      </w:r>
      <w:r>
        <w:rPr>
          <w:strike/>
        </w:rPr>
        <w:t xml:space="preserve">strikethrough</w:t>
      </w:r>
      <w:r>
        <w:t xml:space="preserve">, </w:t>
      </w:r>
      <w:r>
        <w:rPr>
          <w:highlight w:val="yellow"/>
        </w:rPr>
        <w:t xml:space="preserve">highlighted text</w:t>
      </w:r>
      <w:r>
        <w:t xml:space="preserve">, </w:t>
      </w:r>
      <w:r>
        <w:rPr>
          <w:color w:val="C00000"/>
        </w:rPr>
        <w:t xml:space="preserve">colored text</w:t>
      </w:r>
      <w:r>
        <w:t xml:space="preserve">, plus superscript m</w:t>
      </w:r>
      <w:r>
        <w:rPr>
          <w:vertAlign w:val="superscript"/>
        </w:rPr>
        <w:t xml:space="preserve">2</w:t>
      </w:r>
      <w:r>
        <w:t xml:space="preserve"> and subscript H</w:t>
      </w:r>
      <w:r>
        <w:rPr>
          <w:vertAlign w:val="subscript"/>
        </w:rPr>
        <w:t xml:space="preserve">2</w:t>
      </w:r>
      <w:r>
        <w:t xml:space="preserve">O. Edit anything — the canvas re-flows live.</w:t>
      </w:r>
    </w:p>
    <w:p>
      <w:r>
        <w:t xml:space="preserve">Links and character styles: visit the </w:t>
      </w:r>
      <w:hyperlink r:id="rId9">
        <w:r>
          <w:rPr>
            <w:rStyle w:val="Hyperlink"/>
          </w:rPr>
          <w:t xml:space="preserve">project homepage</w:t>
        </w:r>
      </w:hyperlink>
      <w:r>
        <w:t xml:space="preserve"> (the link blue comes from the Hyperlink character style, matching Word)</w:t>
      </w:r>
      <w:r>
        <w:rPr>
          <w:rStyle w:val="FootnoteReference"/>
        </w:rPr>
        <w:footnoteReference w:id="1"/>
      </w:r>
      <w:r>
        <w:t xml:space="preserve">.</w:t>
      </w:r>
    </w:p>
    <w:p>
      <w:pPr>
        <w:pStyle w:val="Heading2"/>
      </w:pPr>
      <w:r>
        <w:t xml:space="preserve">Lists</w:t>
      </w:r>
    </w:p>
    <w:p>
      <w:pPr>
        <w:pStyle w:val="ListParagraph"/>
        <w:numPr>
          <w:ilvl w:val="0"/>
          <w:numId w:val="1"/>
        </w:numPr>
      </w:pPr>
      <w:r>
        <w:t xml:space="preserve">A first-level bullet item</w:t>
      </w:r>
    </w:p>
    <w:p>
      <w:pPr>
        <w:pStyle w:val="ListParagraph"/>
        <w:numPr>
          <w:ilvl w:val="0"/>
          <w:numId w:val="1"/>
        </w:numPr>
      </w:pPr>
      <w:r>
        <w:t xml:space="preserve">Pagination matches Word's layout engine</w:t>
      </w:r>
    </w:p>
    <w:p>
      <w:pPr>
        <w:pStyle w:val="ListParagraph"/>
        <w:numPr>
          <w:ilvl w:val="1"/>
          <w:numId w:val="1"/>
        </w:numPr>
      </w:pPr>
      <w:r>
        <w:t xml:space="preserve">A nested second-level item</w:t>
      </w:r>
    </w:p>
    <w:p>
      <w:pPr>
        <w:pStyle w:val="Heading2"/>
      </w:pPr>
      <w:r>
        <w:t xml:space="preserve">Tables</w:t>
      </w:r>
    </w:p>
    <w:tbl>
      <w:tblPr>
        <w:tblW w:w="9000" w:type="dxa"/>
        <w:tblBorders>
          <w:top w:val="single" w:color="000000" w:sz="4"/>
          <w:left w:val="single" w:color="000000" w:sz="4"/>
          <w:bottom w:val="single" w:color="000000" w:sz="4"/>
          <w:right w:val="single" w:color="000000" w:sz="4"/>
          <w:insideH w:val="single" w:color="000000" w:sz="4"/>
          <w:insideV w:val="single" w:color="000000" w:sz="4"/>
        </w:tblBorders>
        <w:tblLayout w:type="autofit"/>
      </w:tblPr>
      <w:tblGrid>
        <w:gridCol w:w="2400"/>
        <w:gridCol w:w="4200"/>
        <w:gridCol w:w="2400"/>
      </w:tblGrid>
      <w:tr>
        <w:trPr>
          <w:tblHeader/>
        </w:trPr>
        <w:tc>
          <w:tcPr>
            <w:tcW w:w="2400" w:type="dxa"/>
            <w:shd w:val="clear" w:fill="DEEAF6"/>
            <w:vAlign w:val="center"/>
          </w:tcPr>
          <w:p>
            <w:r>
              <w:rPr>
                <w:b/>
              </w:rPr>
              <w:t xml:space="preserve">Feature</w:t>
            </w:r>
          </w:p>
        </w:tc>
        <w:tc>
          <w:tcPr>
            <w:tcW w:w="4200" w:type="dxa"/>
            <w:shd w:val="clear" w:fill="DEEAF6"/>
            <w:vAlign w:val="center"/>
          </w:tcPr>
          <w:p>
            <w:r>
              <w:rPr>
                <w:b/>
              </w:rPr>
              <w:t xml:space="preserve">Description</w:t>
            </w:r>
          </w:p>
        </w:tc>
        <w:tc>
          <w:tcPr>
            <w:tcW w:w="2400" w:type="dxa"/>
            <w:shd w:val="clear" w:fill="DEEAF6"/>
            <w:vAlign w:val="center"/>
          </w:tcPr>
          <w:p>
            <w:r>
              <w:rPr>
                <w:b/>
              </w:rPr>
              <w:t xml:space="preserve">Status</w:t>
            </w:r>
          </w:p>
        </w:tc>
      </w:tr>
      <w:tr>
        <w:tc>
          <w:tcPr>
            <w:tcW w:w="2400" w:type="dxa"/>
            <w:vAlign w:val="center"/>
          </w:tcPr>
          <w:p>
            <w:r>
              <w:t xml:space="preserve">Mid-row split</w:t>
            </w:r>
          </w:p>
        </w:tc>
        <w:tc>
          <w:tcPr>
            <w:tcW w:w="4200" w:type="dxa"/>
          </w:tcPr>
          <w:p>
            <w:r>
              <w:t xml:space="preserve">A row taller than the page splits at a line boundary; the header row repeats on every page (tblHeader).</w:t>
            </w:r>
          </w:p>
        </w:tc>
        <w:tc>
          <w:tcPr>
            <w:tcW w:w="2400" w:type="dxa"/>
            <w:vAlign w:val="center"/>
          </w:tcPr>
          <w:p>
            <w:r>
              <w:t xml:space="preserve">Shipped</w:t>
            </w:r>
          </w:p>
        </w:tc>
      </w:tr>
      <w:tr>
        <w:tc>
          <w:tcPr>
            <w:tcW w:w="6600" w:type="dxa"/>
            <w:gridSpan w:val="2"/>
            <w:vAlign w:val="center"/>
          </w:tcPr>
          <w:p>
            <w:r>
              <w:t xml:space="preserve">A spanned cell (columnSpan = 2)</w:t>
            </w:r>
          </w:p>
        </w:tc>
        <w:tc>
          <w:tcPr>
            <w:tcW w:w="2400" w:type="dxa"/>
          </w:tcPr>
          <w:p>
            <w:r>
              <w:t xml:space="preserve">Shipped</w:t>
            </w:r>
          </w:p>
        </w:tc>
      </w:tr>
    </w:tbl>
    <w:p/>
    <w:p>
      <w:pPr>
        <w:jc w:val="center"/>
      </w:pPr>
      <w:r>
        <w:t xml:space="preserve">  </w:t>
      </w:r>
    </w:p>
    <w:p/>
    <w:p>
      <w:pPr>
        <w:pStyle w:val="Heading2"/>
      </w:pPr>
      <w:r>
        <w:t xml:space="preserve">Charts</w:t>
      </w:r>
    </w:p>
    <w:p>
      <w:r>
        <w:t xml:space="preserve">An inline chart below paints through the same pipeline: click it once for the frame, then again on a bar or the legend — Word's two-stage selection (Delete removes the selected series; Edit Data on the Chart Design tab rewrites the grid).</w:t>
      </w:r>
    </w:p>
    <w:p>
      <w:pPr>
        <w:jc w:val="center"/>
      </w:pPr>
      <w:r>
        <w:drawing>
          <wp:inline distT="0" distB="0" distL="0" distR="0">
            <wp:extent cx="4572000" cy="27432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
        <w:drawing>
          <wp:anchor distT="0" distB="0" distL="0" distR="0" simplePos="0" allowOverlap="1" behindDoc="0" locked="0" layoutInCell="1" relativeHeight="2743200">
            <wp:simplePos x="0" y="0"/>
            <wp:positionH relativeFrom="margin">
              <wp:posOffset>1828800</wp:posOffset>
            </wp:positionH>
            <wp:positionV relativeFrom="paragraph">
              <wp:posOffset>95250</wp:posOffset>
            </wp:positionV>
            <wp:extent cx="3657600" cy="2743200"/>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pPr>
        <w:sectPr>
          <w:headerReference r:id="rId8" w:type="default"/>
          <w:footerReference r:id="rId7" w:type="default"/>
          <w:pgSz w:w="11906" w:h="16838" w:orient="portrait"/>
          <w:pgMar w:top="1440" w:right="1800" w:bottom="1440" w:left="1800" w:header="851" w:footer="992" w:gutter="0"/>
          <w:docGrid w:linePitch="312" w:charSpace="0" w:type="lines"/>
        </w:sectPr>
      </w:pPr>
    </w:p>
    <w:p>
      <w:pPr>
        <w:pStyle w:val="Heading1"/>
      </w:pPr>
      <w:r>
        <w:t xml:space="preserve">Multi-Column Layout</w:t>
      </w:r>
    </w:p>
    <w:p>
      <w:r>
        <w:t xml:space="preserve">This section flows in two balanced columns, the way Word lays out newsletters, brochures and minutes. Columns are part of the OOXML section properties (w:cols) and share the same section state machine as the page setup: the engine fills the left column first, then continues into the right one, and a new page starts only when BOTH columns are full — exactly the order Word's layout engine walks.</w:t>
      </w:r>
    </w:p>
    <w:p>
      <w:r>
        <w:t xml:space="preserve">The separator line between the columns comes from the section's separate flag, and the gap between them is measured in twentieths of a point just like Word's spacing-to setting. Manual column widths and column breaks project from the same section model, so a document saved here opens in Word with the identical column geometry — and a document Word authored parses back into the same section state.</w:t>
      </w:r>
    </w:p>
    <w:p>
      <w:r>
        <w:t xml:space="preserve">Editing behaves the same inside columns as anywhere else: put the caret in any column and type — wrapping, column flow and repagination happen live. Watch the boundary between the columns move as text grows: sentences migrate from the bottom of the left column to the top of the right one without any explicit instruction, because the layout engine — not the document — owns the flow.</w:t>
      </w:r>
    </w:p>
    <w:p>
      <w:r>
        <w:t xml:space="preserve">Each section of a document carries its own page setup: size, orientation, margins, headers and footers, and these column settings. The section break above is a next-page break, so section two starts on a fresh page and keeps its two-column grid while section one stays single-column — the two models coexist in one file, one per section.</w:t>
      </w:r>
    </w:p>
    <w:p>
      <w:r>
        <w:t xml:space="preserve">Under the canvas the same story holds: every keystroke is one transaction, and every transaction re-runs the pipeline — compile to the document model, project to layout geometry, paginate across columns and pages, then paint. That is the core loop of the canvas route, and columns are simply one more constraint the paginator respects while filling pages.</w:t>
      </w:r>
    </w:p>
    <w:p>
      <w:r>
        <w:t xml:space="preserve">Try it: select a word here and make it bold, or drag the pictures above into the columns. Formatting, tables, images and links all flow through the same two-column text stream — nothing about a column changes how content behaves, only where the paginator is allowed to place it.</w:t>
      </w:r>
    </w:p>
    <w:sectPr>
      <w:pgSz w:w="11906" w:h="16838" w:orient="portrait"/>
      <w:pgMar w:top="1440" w:right="1800" w:bottom="1440" w:left="1800" w:header="851" w:footer="992" w:gutter="0"/>
      <w:cols w:space="360" w:num="2" w:sep="1"/>
      <w:docGrid w:linePitch="312" w:charSpace="0" w:type="lines"/>
    </w:sectPr>
  </w:body>
</w:document>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pPr>
      <w:jc w:val="center"/>
    </w:pPr>
    <w:fldSimple w:instr="PAGE"/>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r>
        <w:t xml:space="preserve"> Open-source Word document engine with full canvas rendering and typesetting.</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pPr>
      <w:pBdr>
        <w:bottom w:val="single" w:color="8496B0" w:sz="4" w:space="4"/>
      </w:pBdr>
      <w:jc w:val="center"/>
    </w:pPr>
    <w:r>
      <w:rPr>
        <w:color w:val="595959"/>
      </w:rPr>
      <w:t xml:space="preserve">docen · canvas typesetting, Word-faithful output</w:t>
    </w:r>
  </w:p>
</w:hdr>
</file>

<file path=word/numbering.xml><?xml version="1.0" encoding="utf-8"?>
<w:numbering xmlns:wpc="http://schemas.microsoft.com/office/word/2010/wordprocessingCanvas" xmlns:mc="http://schemas.openxmlformats.org/markup-compatibility/2006" xmlns:o="urn:schemas-microsoft-com:office:office" xmlns:pvml="urn:schemas-microsoft-com:office:powerpoin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urn:schemas-microsoft-com:office:excel" mc:Ignorable="w14 w15 wp14">
  <w:abstractNum w:abstractNumId="1">
    <w:multiLevelType w:val="hybrid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2"/>
        <w:szCs w:val="24"/>
        <w:lang w:val="en-U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Default Paragraph Font" w:semiHidden="1" w:uiPriority="1" w:unhideWhenUsed="1"/>
    <w:lsdException w:name="Normal Table" w:semiHidden="1" w:uiPriority="99" w:unhideWhenUsed="1"/>
    <w:lsdException w:name="No List" w:semiHidden="1" w:uiPriority="99" w:unhideWhenUsed="1"/>
    <w:lsdException w:name="Subtitle" w:uiPriority="11" w:qFormat="1"/>
    <w:lsdException w:name="Strong" w:uiPriority="22" w:qFormat="1"/>
    <w:lsdException w:name="Emphasis" w:uiPriority="20" w:qFormat="1"/>
    <w:lsdException w:name="Hyperlink" w:semiHidden="1" w:unhideWhenUsed="1"/>
    <w:lsdException w:name="FollowedHyperlink" w:semiHidden="1" w:unhideWhenUsed="1"/>
    <w:lsdException w:name="No Spacing" w:uiPriority="1" w:qFormat="1"/>
    <w:lsdException w:name="Revision" w:semiHidden="1"/>
  </w:latentStyles>
  <w:style w:type="paragraph" w:styleId="Normal" w:default="1">
    <w:name w:val="Normal"/>
    <w:qFormat/>
  </w:style>
  <w:style w:type="paragraph" w:styleId="Heading1">
    <w:name w:val="heading 1"/>
    <w:basedOn w:val="Normal"/>
    <w:next w:val="Normal"/>
    <w:link w:val="Heading1Char"/>
    <w:uiPriority w:val="9"/>
    <w:qFormat/>
    <w:pPr>
      <w:keepNext/>
      <w:keepLines/>
      <w:spacing w:after="80" w:before="480"/>
      <w:outlineLvl w:val="0"/>
    </w:pPr>
    <w:rPr>
      <w:rFonts w:asciiTheme="majorHAnsi" w:cstheme="majorBidi" w:eastAsiaTheme="majorEastAsia" w:hAnsiTheme="majorHAns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after="80" w:before="160"/>
      <w:outlineLvl w:val="1"/>
    </w:pPr>
    <w:rPr>
      <w:rFonts w:asciiTheme="majorHAnsi" w:cstheme="majorBidi" w:eastAsiaTheme="majorEastAsia" w:hAnsiTheme="majorHAns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after="80" w:before="160"/>
      <w:outlineLvl w:val="2"/>
    </w:pPr>
    <w:rPr>
      <w:rFonts w:asciiTheme="majorHAnsi" w:cstheme="majorBidi" w:eastAsiaTheme="majorEastAsia" w:hAnsiTheme="majorHAns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after="40" w:before="80"/>
      <w:outlineLvl w:val="3"/>
    </w:pPr>
    <w:rPr>
      <w:rFonts w:asciiTheme="majorHAnsi" w:cstheme="majorBidi" w:eastAsiaTheme="majorEastAsia" w:hAnsiTheme="majorHAns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after="40" w:before="80"/>
      <w:outlineLvl w:val="4"/>
    </w:pPr>
    <w:rPr>
      <w:rFonts w:asciiTheme="majorHAnsi" w:cstheme="majorBidi" w:eastAsiaTheme="majorEastAsia" w:hAnsiTheme="majorHAns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after="0" w:before="40"/>
      <w:outlineLvl w:val="5"/>
    </w:pPr>
    <w:rPr>
      <w:rFonts w:asciiTheme="majorHAnsi" w:cstheme="majorBidi" w:eastAsiaTheme="majorEastAsia" w:hAnsiTheme="majorHAns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after="0"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b/>
      <w:bCs/>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cstheme="majorBidi"/>
      <w:b/>
      <w:bCs/>
      <w:color w:val="595959" w:themeColor="text1" w:themeTint="A6"/>
    </w:rPr>
  </w:style>
  <w:style w:type="paragraph" w:styleId="Title">
    <w:name w:val="Title"/>
    <w:basedOn w:val="Normal"/>
    <w:next w:val="Normal"/>
    <w:link w:val="TitleChar"/>
    <w:uiPriority w:val="10"/>
    <w:qFormat/>
    <w:pPr>
      <w:spacing w:after="80" w:line="240" w:lineRule="auto"/>
      <w:contextualSpacing/>
      <w:jc w:val="center"/>
    </w:pPr>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pPr>
      <w:jc w:val="center"/>
    </w:pPr>
    <w:rPr>
      <w:rFonts w:asciiTheme="majorHAnsi" w:cstheme="majorBidi" w:eastAsiaTheme="majorEastAsia" w:hAnsiTheme="majorHAns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color="0F4761" w:sz="4" w:space="10" w:themeColor="accent1" w:themeShade="BF"/>
        <w:bottom w:val="single" w:color="0F4761" w:sz="4" w:space="10" w:themeColor="accent1" w:themeShade="BF"/>
      </w:pBdr>
      <w:spacing w:after="360" w:before="360"/>
      <w:ind w:left="864" w:right="864"/>
      <w:jc w:val="center"/>
    </w:pPr>
    <w:rPr>
      <w:i/>
      <w:iCs/>
      <w:color w:val="0F4761" w:themeColor="accent1" w:themeShade="BF"/>
    </w:rPr>
  </w:style>
  <w:style w:type="paragraph" w:styleId="FootnoteText">
    <w:name w:val="footnote text"/>
    <w:basedOn w:val="Normal"/>
    <w:link w:val="FootnoteTextChar"/>
    <w:uiPriority w:val="99"/>
    <w:semiHidden/>
    <w:unhideWhenUsed/>
    <w:pPr>
      <w:spacing w:after="0" w:line="240" w:lineRule="auto"/>
    </w:pPr>
    <w:rPr>
      <w:sz w:val="20"/>
    </w:rPr>
  </w:style>
  <w:style w:type="paragraph" w:styleId="EndnoteText">
    <w:name w:val="endnote text"/>
    <w:basedOn w:val="Normal"/>
    <w:link w:val="EndnoteTextChar"/>
    <w:uiPriority w:val="99"/>
    <w:semiHidden/>
    <w:unhideWhenUsed/>
    <w:pPr>
      <w:spacing w:after="0" w:line="240" w:lineRule="auto"/>
    </w:pPr>
    <w:rPr>
      <w:sz w:val="20"/>
    </w:rPr>
  </w:style>
  <w:style w:type="character" w:styleId="Heading1Char">
    <w:name w:val="heading 1 Char"/>
    <w:basedOn w:val="DefaultParagraphFont"/>
    <w:link w:val="Heading1"/>
    <w:uiPriority w:val="9"/>
    <w:rPr>
      <w:rFonts w:asciiTheme="majorHAnsi" w:cstheme="majorBidi" w:eastAsiaTheme="majorEastAsia" w:hAnsiTheme="majorHAnsi"/>
      <w:color w:val="0F4761" w:themeColor="accent1" w:themeShade="BF"/>
      <w:sz w:val="48"/>
      <w:szCs w:val="48"/>
    </w:rPr>
  </w:style>
  <w:style w:type="character" w:styleId="Heading2Char">
    <w:name w:val="heading 2 Char"/>
    <w:basedOn w:val="DefaultParagraphFont"/>
    <w:link w:val="Heading2"/>
    <w:uiPriority w:val="9"/>
    <w:semiHidden/>
    <w:rPr>
      <w:rFonts w:asciiTheme="majorHAnsi" w:cstheme="majorBidi" w:eastAsiaTheme="majorEastAsia" w:hAnsiTheme="majorHAnsi"/>
      <w:color w:val="0F4761" w:themeColor="accent1" w:themeShade="BF"/>
      <w:sz w:val="40"/>
      <w:szCs w:val="40"/>
    </w:rPr>
  </w:style>
  <w:style w:type="character" w:styleId="Heading3Char">
    <w:name w:val="heading 3 Char"/>
    <w:basedOn w:val="DefaultParagraphFont"/>
    <w:link w:val="Heading3"/>
    <w:uiPriority w:val="9"/>
    <w:semiHidden/>
    <w:rPr>
      <w:rFonts w:asciiTheme="majorHAnsi" w:cstheme="majorBidi" w:eastAsiaTheme="majorEastAsia" w:hAnsiTheme="majorHAnsi"/>
      <w:color w:val="0F4761" w:themeColor="accent1" w:themeShade="BF"/>
      <w:sz w:val="32"/>
      <w:szCs w:val="32"/>
    </w:rPr>
  </w:style>
  <w:style w:type="character" w:styleId="Heading4Char">
    <w:name w:val="heading 4 Char"/>
    <w:basedOn w:val="DefaultParagraphFont"/>
    <w:link w:val="Heading4"/>
    <w:uiPriority w:val="9"/>
    <w:semiHidden/>
    <w:rPr>
      <w:rFonts w:asciiTheme="majorHAnsi" w:cstheme="majorBidi" w:eastAsiaTheme="majorEastAsia" w:hAnsiTheme="majorHAnsi"/>
      <w:color w:val="0F4761" w:themeColor="accent1" w:themeShade="BF"/>
      <w:sz w:val="28"/>
      <w:szCs w:val="28"/>
    </w:rPr>
  </w:style>
  <w:style w:type="character" w:styleId="Heading5Char">
    <w:name w:val="heading 5 Char"/>
    <w:basedOn w:val="DefaultParagraphFont"/>
    <w:link w:val="Heading5"/>
    <w:uiPriority w:val="9"/>
    <w:semiHidden/>
    <w:rPr>
      <w:rFonts w:asciiTheme="majorHAnsi" w:cstheme="majorBidi" w:eastAsiaTheme="majorEastAsia" w:hAnsiTheme="majorHAnsi"/>
      <w:color w:val="0F4761" w:themeColor="accent1" w:themeShade="BF"/>
      <w:sz w:val="24"/>
      <w:szCs w:val="24"/>
    </w:rPr>
  </w:style>
  <w:style w:type="character" w:styleId="Heading6Char">
    <w:name w:val="heading 6 Char"/>
    <w:basedOn w:val="DefaultParagraphFont"/>
    <w:link w:val="Heading6"/>
    <w:uiPriority w:val="9"/>
    <w:semiHidden/>
    <w:rPr>
      <w:rFonts w:asciiTheme="majorHAnsi" w:cstheme="majorBidi" w:eastAsiaTheme="majorEastAsia" w:hAnsiTheme="majorHAnsi"/>
      <w:b/>
      <w:bCs/>
      <w:color w:val="0F4761" w:themeColor="accent1" w:themeShade="BF"/>
    </w:rPr>
  </w:style>
  <w:style w:type="character" w:styleId="Heading7Char">
    <w:name w:val="heading 7 Char"/>
    <w:basedOn w:val="DefaultParagraphFont"/>
    <w:link w:val="Heading7"/>
    <w:uiPriority w:val="9"/>
    <w:semiHidden/>
    <w:rPr>
      <w:rFonts w:cstheme="majorBidi"/>
      <w:b/>
      <w:bCs/>
      <w:color w:val="595959" w:themeColor="text1" w:themeTint="A6"/>
    </w:rPr>
  </w:style>
  <w:style w:type="character" w:styleId="Heading8Char">
    <w:name w:val="heading 8 Char"/>
    <w:basedOn w:val="DefaultParagraphFont"/>
    <w:link w:val="Heading8"/>
    <w:uiPriority w:val="9"/>
    <w:semiHidden/>
    <w:rPr>
      <w:rFonts w:cstheme="majorBidi"/>
      <w:b/>
      <w:bCs/>
      <w:color w:val="595959" w:themeColor="text1" w:themeTint="A6"/>
    </w:rPr>
  </w:style>
  <w:style w:type="character" w:styleId="Heading9Char">
    <w:name w:val="heading 9 Char"/>
    <w:basedOn w:val="DefaultParagraphFont"/>
    <w:link w:val="Heading9"/>
    <w:uiPriority w:val="9"/>
    <w:semiHidden/>
    <w:rPr>
      <w:rFonts w:cstheme="majorBidi"/>
      <w:b/>
      <w:bCs/>
      <w:color w:val="595959" w:themeColor="text1" w:themeTint="A6"/>
    </w:rPr>
  </w:style>
  <w:style w:type="character" w:styleId="DefaultParagraphFont" w:default="1">
    <w:name w:val="Default Paragraph Font"/>
    <w:uiPriority w:val="1"/>
    <w:semiHidden/>
    <w:unhideWhenUsed/>
  </w:style>
  <w:style w:type="character" w:styleId="TitleChar">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name w:val="Subtitle Char"/>
    <w:basedOn w:val="DefaultParagraphFont"/>
    <w:link w:val="Subtitle"/>
    <w:uiPriority w:val="11"/>
    <w:rPr>
      <w:rFonts w:asciiTheme="majorHAnsi" w:cstheme="majorBidi" w:eastAsiaTheme="majorEastAsia" w:hAnsiTheme="majorHAnsi"/>
      <w:color w:val="595959" w:themeColor="text1" w:themeTint="A6"/>
      <w:spacing w:val="15"/>
      <w:sz w:val="28"/>
      <w:szCs w:val="28"/>
    </w:rPr>
  </w:style>
  <w:style w:type="character" w:styleId="QuoteChar">
    <w:name w:val="Quote Char"/>
    <w:basedOn w:val="DefaultParagraphFont"/>
    <w:link w:val="Quote"/>
    <w:uiPriority w:val="29"/>
    <w:rPr>
      <w:i/>
      <w:iCs/>
      <w:color w:val="404040" w:themeColor="text1" w:themeTint="BF"/>
    </w:rPr>
  </w:style>
  <w:style w:type="character" w:styleId="IntenseQuoteChar">
    <w:name w:val="Intense Quote Char"/>
    <w:basedOn w:val="DefaultParagraphFont"/>
    <w:link w:val="IntenseQuote"/>
    <w:uiPriority w:val="30"/>
    <w:rPr>
      <w:i/>
      <w:iCs/>
      <w:color w:val="0F4761" w:themeColor="accent1" w:themeShade="BF"/>
    </w:rPr>
  </w:style>
  <w:style w:type="character" w:styleId="Hyperlink">
    <w:name w:val="Hyperlink"/>
    <w:basedOn w:val="DefaultParagraphFont"/>
    <w:semiHidden/>
    <w:unhideWhenUsed/>
    <w:rPr>
      <w:color w:val="0563C1"/>
      <w:u w:val="single"/>
    </w:rPr>
  </w:style>
  <w:style w:type="character" w:styleId="FootnoteReference">
    <w:name w:val="footnote reference"/>
    <w:basedOn w:val="DefaultParagraphFont"/>
    <w:semiHidden/>
    <w:unhideWhenUsed/>
    <w:rPr>
      <w:vertAlign w:val="superscript"/>
    </w:rPr>
  </w:style>
  <w:style w:type="character" w:styleId="FootnoteTextChar">
    <w:name w:val="Footnote Text Char"/>
    <w:basedOn w:val="DefaultParagraphFont"/>
    <w:link w:val="FootnoteText"/>
    <w:semiHidden/>
    <w:rPr>
      <w:sz w:val="20"/>
    </w:rPr>
  </w:style>
  <w:style w:type="character" w:styleId="EndnoteReference">
    <w:name w:val="endnote reference"/>
    <w:basedOn w:val="DefaultParagraphFont"/>
    <w:semiHidden/>
    <w:unhideWhenUsed/>
    <w:rPr>
      <w:vertAlign w:val="superscript"/>
    </w:rPr>
  </w:style>
  <w:style w:type="character" w:styleId="EndnoteTextChar">
    <w:name w:val="Endnote Text Char"/>
    <w:basedOn w:val="DefaultParagraphFont"/>
    <w:link w:val="EndnoteText"/>
    <w:semiHidden/>
    <w:rPr>
      <w:sz w:val="20"/>
    </w:rPr>
  </w:style>
  <w:style w:type="character" w:styleId="IntenseReference">
    <w:name w:val="Intense Reference"/>
    <w:basedOn w:val="DefaultParagraphFont"/>
    <w:uiPriority w:val="32"/>
    <w:qFormat/>
    <w:rPr>
      <w:b/>
      <w:bCs/>
      <w:smallCaps/>
      <w:color w:val="0F4761" w:themeColor="accent1" w:themeShade="BF"/>
      <w:spacing w:val="5"/>
    </w:rPr>
  </w:style>
  <w:style w:type="table" w:styleId="NormalTable"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yperlink" Target="https://github.com/DemoMacro/docen" TargetMode="External"/><Relationship Id="rId10" Type="http://schemas.openxmlformats.org/officeDocument/2006/relationships/chart" Target="charts/chart1.xml"/><Relationship Id="rId11" Type="http://schemas.openxmlformats.org/officeDocument/2006/relationships/chart" Target="charts/chart2.xml"/><Relationship Id="rId12" Type="http://schemas.openxmlformats.org/officeDocument/2006/relationships/fontTable" Target="fontTable.xml"/></Relationships>
</file>

<file path=word/charts/chart1.xml><?xml version="1.0" encoding="utf-8"?>
<c:chartSpace xmlns:c="http://schemas.openxmlformats.org/drawingml/2006/chart" xmlns:a="http://schemas.openxmlformats.org/drawingml/2006/main" xmlns:r="http://schemas.openxmlformats.org/officeDocument/2006/relationships">
  <c:chart>
    <c:title>
      <c:tx>
        <c:rich>
          <a:bodyPr/>
          <a:lstStyle/>
          <a:p>
            <a:r>
              <a:t>Quarterly Revenue</a:t>
            </a:r>
          </a:p>
        </c:rich>
      </c:tx>
    </c:title>
    <c:plotArea>
      <c:layout/>
      <c:barChart>
        <c:barDir val="col"/>
        <c:grouping val="clustered"/>
        <c:ser>
          <c:idx val="0"/>
          <c:order val="0"/>
          <c:tx>
            <c:strRef>
              <c:f/>
              <c:strCache>
                <c:ptCount val="1"/>
                <c:pt idx="0">
                  <c:v>Revenue</c:v>
                </c:pt>
              </c:strCache>
            </c:strRef>
          </c:tx>
          <c:cat>
            <c:strRef>
              <c:f/>
              <c:strCache>
                <c:ptCount val="4"/>
                <c:pt idx="0">
                  <c:v>Q1</c:v>
                </c:pt>
                <c:pt idx="1">
                  <c:v>Q2</c:v>
                </c:pt>
                <c:pt idx="2">
                  <c:v>Q3</c:v>
                </c:pt>
                <c:pt idx="3">
                  <c:v>Q4</c:v>
                </c:pt>
              </c:strCache>
            </c:strRef>
          </c:cat>
          <c:val>
            <c:numRef>
              <c:f/>
              <c:numCache>
                <c:formatCode>General</c:formatCode>
                <c:ptCount val="4"/>
                <c:pt idx="0">
                  <c:v>12</c:v>
                </c:pt>
                <c:pt idx="1">
                  <c:v>18</c:v>
                </c:pt>
                <c:pt idx="2">
                  <c:v>15</c:v>
                </c:pt>
                <c:pt idx="3">
                  <c:v>22</c:v>
                </c:pt>
              </c:numCache>
            </c:numRef>
          </c:val>
        </c:ser>
        <c:ser>
          <c:idx val="1"/>
          <c:order val="1"/>
          <c:tx>
            <c:strRef>
              <c:f/>
              <c:strCache>
                <c:ptCount val="1"/>
                <c:pt idx="0">
                  <c:v>Costs</c:v>
                </c:pt>
              </c:strCache>
            </c:strRef>
          </c:tx>
          <c:cat>
            <c:strRef>
              <c:f/>
              <c:strCache>
                <c:ptCount val="4"/>
                <c:pt idx="0">
                  <c:v>Q1</c:v>
                </c:pt>
                <c:pt idx="1">
                  <c:v>Q2</c:v>
                </c:pt>
                <c:pt idx="2">
                  <c:v>Q3</c:v>
                </c:pt>
                <c:pt idx="3">
                  <c:v>Q4</c:v>
                </c:pt>
              </c:strCache>
            </c:strRef>
          </c:cat>
          <c:val>
            <c:numRef>
              <c:f/>
              <c:numCache>
                <c:formatCode>General</c:formatCode>
                <c:ptCount val="4"/>
                <c:pt idx="0">
                  <c:v>8</c:v>
                </c:pt>
                <c:pt idx="1">
                  <c:v>11</c:v>
                </c:pt>
                <c:pt idx="2">
                  <c:v>9</c:v>
                </c:pt>
                <c:pt idx="3">
                  <c:v>13</c:v>
                </c:pt>
              </c:numCache>
            </c:numRef>
          </c:val>
        </c:ser>
        <c:axId val="10"/>
        <c:axId val="20"/>
      </c:barChart>
      <c:catAx>
        <c:axId val="10"/>
        <c:scaling>
          <c:orientation val="minMax"/>
        </c:scaling>
        <c:delete val="0"/>
        <c:axPos val="b"/>
        <c:crossAx val="20"/>
        <c:crosses val="autoZero"/>
        <c:auto val="1"/>
        <c:lblOffset val="100"/>
        <c:noMultiLvlLbl val="0"/>
      </c:catAx>
      <c:valAx>
        <c:axId val="20"/>
        <c:scaling>
          <c:orientation val="minMax"/>
        </c:scaling>
        <c:delete val="0"/>
        <c:axPos val="l"/>
        <c:numFmt formatCode="General" sourceLinked="1"/>
        <c:crossAx val="10"/>
        <c:crosses val="autoZero"/>
      </c:valAx>
    </c:plotArea>
    <c:legend>
      <c:legendPos val="b"/>
    </c:legend>
    <c:plotVisOnly val="1"/>
  </c:chart>
</c:chartSpace>
</file>

<file path=word/charts/chart2.xml><?xml version="1.0" encoding="utf-8"?>
<c:chartSpace xmlns:c="http://schemas.openxmlformats.org/drawingml/2006/chart" xmlns:a="http://schemas.openxmlformats.org/drawingml/2006/main" xmlns:r="http://schemas.openxmlformats.org/officeDocument/2006/relationships">
  <c:chart>
    <c:title>
      <c:tx>
        <c:rich>
          <a:bodyPr/>
          <a:lstStyle/>
          <a:p>
            <a:r>
              <a:t>Market Share</a:t>
            </a:r>
          </a:p>
        </c:rich>
      </c:tx>
    </c:title>
    <c:plotArea>
      <c:layout/>
      <c:pieChart>
        <c:ser>
          <c:idx val="0"/>
          <c:order val="0"/>
          <c:tx>
            <c:strRef>
              <c:f/>
              <c:strCache>
                <c:ptCount val="1"/>
                <c:pt idx="0">
                  <c:v>Share</c:v>
                </c:pt>
              </c:strCache>
            </c:strRef>
          </c:tx>
          <c:cat>
            <c:strRef>
              <c:f/>
              <c:strCache>
                <c:ptCount val="3"/>
                <c:pt idx="0">
                  <c:v>Alpha</c:v>
                </c:pt>
                <c:pt idx="1">
                  <c:v>Beta</c:v>
                </c:pt>
                <c:pt idx="2">
                  <c:v>Gamma</c:v>
                </c:pt>
              </c:strCache>
            </c:strRef>
          </c:cat>
          <c:val>
            <c:numRef>
              <c:f/>
              <c:numCache>
                <c:formatCode>General</c:formatCode>
                <c:ptCount val="3"/>
                <c:pt idx="0">
                  <c:v>45</c:v>
                </c:pt>
                <c:pt idx="1">
                  <c:v>30</c:v>
                </c:pt>
                <c:pt idx="2">
                  <c:v>25</c:v>
                </c:pt>
              </c:numCache>
            </c:numRef>
          </c:val>
        </c:ser>
      </c:pieChart>
    </c:plotArea>
    <c:legend>
      <c:legendPos val="r"/>
    </c:legend>
    <c:plotVisOnly val="1"/>
  </c:chart>
</c:chartSpace>
</file>

<file path=word/theme/theme1.xml><?xml version="1.0" encoding="utf-8"?>
<a:theme xmlns:a="http://schemas.openxmlformats.org/drawingml/2006/main" name="Office Theme">
  <a:themeElements>
    <a:clrScheme name="Office Them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mitype/" xmlns:dcterms="http://purl.org/dc/terms/" xmlns:xsi="http://www.w3.org/2001/XMLSchema-instance">
  <dcterms:created xsi:type="dcterms:W3CDTF">2026-10-15T18:52:59.490Z</dcterms:created>
  <dcterms:modified xsi:type="dcterms:W3CDTF">2026-10-15T18:52:59.490Z</dcterms:modified>
</cp:coreProperties>
</file>