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Master Services Agreement</w:t>
      </w:r>
    </w:p>
    <w:p>
      <w:r>
        <w:t xml:space="preserve">Between Jandira Technologies, LLC ("Jandira") and Halyard Press, Inc.</w:t>
      </w:r>
      <w:r>
        <w:t xml:space="preserve"> </w:t>
      </w:r>
      <w:r>
        <w:t xml:space="preserve">("the Client"), dated 3 March 2026.</w:t>
      </w:r>
    </w:p>
    <w:p>
      <w:pPr>
        <w:pStyle w:val="Heading2"/>
      </w:pPr>
      <w:r>
        <w:t xml:space="preserve">1. Scope of services</w:t>
      </w:r>
    </w:p>
    <w:p>
      <w:r>
        <w:t xml:space="preserve">Jandira will deliver the document redline engine described in statement</w:t>
      </w:r>
      <w:r>
        <w:t xml:space="preserve"> </w:t>
      </w:r>
      <w:r>
        <w:t xml:space="preserve">of work 2026-04, in three phases:</w:t>
      </w:r>
    </w:p>
    <w:p>
      <w:pPr>
        <w:pStyle w:val="ListParagraph"/>
        <w:numPr>
          <w:ilvl w:val="0"/>
          <w:numId w:val="1"/>
        </w:numPr>
      </w:pPr>
      <w:r>
        <w:t xml:space="preserve">Discovery and fixture collection</w:t>
      </w:r>
    </w:p>
    <w:p>
      <w:pPr>
        <w:pStyle w:val="ListParagraph"/>
        <w:numPr>
          <w:ilvl w:val="0"/>
          <w:numId w:val="1"/>
        </w:numPr>
      </w:pPr>
      <w:r>
        <w:t xml:space="preserve">Layout parity against Microsoft Word</w:t>
      </w:r>
    </w:p>
    <w:p>
      <w:pPr>
        <w:pStyle w:val="ListParagraph"/>
        <w:numPr>
          <w:ilvl w:val="0"/>
          <w:numId w:val="1"/>
        </w:numPr>
      </w:pPr>
      <w:r>
        <w:t xml:space="preserve">Handover of the benchmark harness</w:t>
      </w:r>
    </w:p>
    <w:p>
      <w:r>
        <w:t xml:space="preserve">Each phase ends with a written milestone report and a demonstration over</w:t>
      </w:r>
      <w:r>
        <w:t xml:space="preserve"> </w:t>
      </w:r>
      <w:r>
        <w:t xml:space="preserve">the shared fixture corpus. Work in one phase begins only after the Client</w:t>
      </w:r>
      <w:r>
        <w:t xml:space="preserve"> </w:t>
      </w:r>
      <w:r>
        <w:t xml:space="preserve">accepts the previous milestone in writing.</w:t>
      </w:r>
    </w:p>
    <w:p>
      <w:pPr>
        <w:pStyle w:val="Heading2"/>
      </w:pPr>
      <w:r>
        <w:t xml:space="preserve">2. Fees and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Phase</w:t>
            </w:r>
          </w:p>
        </w:tc>
        <w:tc>
          <w:tcPr>
            <w:tcW w:w="2340" w:type="dxa"/>
          </w:tcPr>
          <w:p>
            <w:r>
              <w:t xml:space="preserve">Deliverable</w:t>
            </w:r>
          </w:p>
        </w:tc>
        <w:tc>
          <w:tcPr>
            <w:tcW w:w="2340" w:type="dxa"/>
          </w:tcPr>
          <w:p>
            <w:r>
              <w:t xml:space="preserve">Weeks</w:t>
            </w:r>
          </w:p>
        </w:tc>
        <w:tc>
          <w:tcPr>
            <w:tcW w:w="2340" w:type="dxa"/>
          </w:tcPr>
          <w:p>
            <w:r>
              <w:t xml:space="preserve">Fee (USD)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Fixture corpus and parity report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12,000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Layout engine parity pass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18,000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Benchmark harness handover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9,000</w:t>
            </w:r>
          </w:p>
        </w:tc>
      </w:tr>
      <w:tr>
        <w:tc>
          <w:tcPr>
            <w:tcW w:w="2340" w:type="dxa"/>
          </w:tcPr>
          <w:p/>
        </w:tc>
        <w:tc>
          <w:tcPr>
            <w:tcW w:w="2340" w:type="dxa"/>
          </w:tcPr>
          <w:p>
            <w:r>
              <w:t xml:space="preserve">Total</w:t>
            </w:r>
          </w:p>
        </w:tc>
        <w:tc>
          <w:tcPr>
            <w:tcW w:w="2340" w:type="dxa"/>
          </w:tcPr>
          <w:p>
            <w:r>
              <w:t xml:space="preserve">15</w:t>
            </w:r>
          </w:p>
        </w:tc>
        <w:tc>
          <w:tcPr>
            <w:tcW w:w="2340" w:type="dxa"/>
          </w:tcPr>
          <w:p>
            <w:r>
              <w:t xml:space="preserve">39,000</w:t>
            </w:r>
          </w:p>
        </w:tc>
      </w:tr>
    </w:tbl>
    <w:p>
      <w:r>
        <w:t xml:space="preserve">Invoices are issued on milestone acceptance and are due net 30. Late</w:t>
      </w:r>
      <w:r>
        <w:t xml:space="preserve"> </w:t>
      </w:r>
      <w:r>
        <w:t xml:space="preserve">payment bears interest at 1.0% per month, to the extent permitted by law.</w:t>
      </w:r>
    </w:p>
    <w:p>
      <w:pPr>
        <w:pStyle w:val="Heading2"/>
      </w:pPr>
      <w:r>
        <w:t xml:space="preserve">3. Confidentiality</w:t>
      </w:r>
    </w:p>
    <w:p>
      <w:r>
        <w:t xml:space="preserve">Each party will keep the other's confidential information in confidence</w:t>
      </w:r>
      <w:r>
        <w:t xml:space="preserve"> </w:t>
      </w:r>
      <w:r>
        <w:t xml:space="preserve">and use it only to perform this agreement. This obligation survives</w:t>
      </w:r>
      <w:r>
        <w:t xml:space="preserve"> </w:t>
      </w:r>
      <w:r>
        <w:t xml:space="preserve">termination by two years.</w:t>
      </w:r>
    </w:p>
    <w:p>
      <w:pPr>
        <w:pStyle w:val="Heading2"/>
      </w:pPr>
      <w:r>
        <w:t xml:space="preserve">4. Term and termination</w:t>
      </w:r>
    </w:p>
    <w:p>
      <w:r>
        <w:t xml:space="preserve">This agreement runs for twelve months from the date above and renews for</w:t>
      </w:r>
      <w:r>
        <w:t xml:space="preserve"> </w:t>
      </w:r>
      <w:r>
        <w:t xml:space="preserve">successive three-month terms unless either party gives thirty days'</w:t>
      </w:r>
      <w:r>
        <w:t xml:space="preserve"> </w:t>
      </w:r>
      <w:r>
        <w:t xml:space="preserve">written notice. Either party may terminate for material breach not cured</w:t>
      </w:r>
      <w:r>
        <w:t xml:space="preserve"> </w:t>
      </w:r>
      <w:r>
        <w:t xml:space="preserve">within fifteen days of written notice.</w:t>
      </w:r>
    </w:p>
    <w:p>
      <w:pPr>
        <w:pStyle w:val="Heading2"/>
      </w:pPr>
      <w:r>
        <w:t xml:space="preserve">5. Governing law</w:t>
      </w:r>
    </w:p>
    <w:p>
      <w:r>
        <w:t xml:space="preserve">This agreement is governed by the laws of the State of New York, without</w:t>
      </w:r>
      <w:r>
        <w:t xml:space="preserve"> </w:t>
      </w:r>
      <w:r>
        <w:t xml:space="preserve">regard to its conflict-of-law provisions. Any dispute arising under it</w:t>
      </w:r>
      <w:r>
        <w:t xml:space="preserve"> </w:t>
      </w:r>
      <w:r>
        <w:t xml:space="preserve">shall be settled by binding arbitration in New York County before a</w:t>
      </w:r>
      <w:r>
        <w:t xml:space="preserve"> </w:t>
      </w:r>
      <w:r>
        <w:t xml:space="preserve">single arbitrator under the CPR Rules.</w:t>
      </w:r>
    </w:p>
    <w:p>
      <w:r>
        <w:t xml:space="preserve">Signed,</w:t>
      </w:r>
    </w:p>
    <w:p>
      <w:r>
        <w:rPr>
          <w:i/>
          <w:iCs/>
        </w:rPr>
        <w:t xml:space="preserve">For Jandira Technologies, LLC</w:t>
      </w:r>
      <w:r>
        <w:t xml:space="preserve"> — </w:t>
      </w:r>
      <w:r>
        <w:rPr>
          <w:i/>
          <w:iCs/>
        </w:rPr>
        <w:t xml:space="preserve">For Halyard Press, Inc.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