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Master Services Agreement</w:t>
      </w:r>
    </w:p>
    <w:p>
      <w:r>
        <w:t xml:space="preserve">This Master Services Agreement (the "Agreement") is entered into by</w:t>
      </w:r>
      <w:r>
        <w:t xml:space="preserve"> </w:t>
      </w:r>
      <w:r>
        <w:t xml:space="preserve">Cedar House Studio LLC ("Contractor") and Orbit Logistics Ltd. ("Client").</w:t>
      </w:r>
    </w:p>
    <w:p>
      <w:pPr>
        <w:pStyle w:val="Heading2"/>
      </w:pPr>
      <w:r>
        <w:t xml:space="preserve">1. Services</w:t>
      </w:r>
    </w:p>
    <w:p>
      <w:r>
        <w:t xml:space="preserve">Contractor will furnish support as described in each Statement of Work:</w:t>
      </w:r>
    </w:p>
    <w:p>
      <w:pPr>
        <w:pStyle w:val="ListParagraph"/>
        <w:numPr>
          <w:ilvl w:val="0"/>
          <w:numId w:val="1"/>
        </w:numPr>
      </w:pPr>
      <w:r>
        <w:t xml:space="preserve">Design system maintenance and component library work</w:t>
      </w:r>
    </w:p>
    <w:p>
      <w:pPr>
        <w:pStyle w:val="ListParagraph"/>
        <w:numPr>
          <w:ilvl w:val="0"/>
          <w:numId w:val="1"/>
        </w:numPr>
      </w:pPr>
      <w:r>
        <w:t xml:space="preserve">Engineering support for Client's storefront releases</w:t>
      </w:r>
    </w:p>
    <w:p>
      <w:r>
        <w:t xml:space="preserve">Each Statement of Work forms part of this Agreement.</w:t>
      </w:r>
    </w:p>
    <w:p>
      <w:pPr>
        <w:pStyle w:val="Heading2"/>
      </w:pPr>
      <w:r>
        <w:t xml:space="preserve">2. Fees</w:t>
      </w:r>
    </w:p>
    <w:p>
      <w:r>
        <w:t xml:space="preserve">Client shall pay Contractor the fees stated in each Statement of Work,</w:t>
      </w:r>
      <w:r>
        <w:t xml:space="preserve"> </w:t>
      </w:r>
      <w:r>
        <w:t xml:space="preserve">net forty-five days from the invoice date. Late payments accrue interest</w:t>
      </w:r>
      <w:r>
        <w:t xml:space="preserve"> </w:t>
      </w:r>
      <w:r>
        <w:t xml:space="preserve">at one percent per month.</w:t>
      </w:r>
    </w:p>
    <w:p>
      <w:pPr>
        <w:pStyle w:val="Heading2"/>
      </w:pPr>
      <w:r>
        <w:t xml:space="preserve">3. Confidentiality</w:t>
      </w:r>
    </w:p>
    <w:p>
      <w:r>
        <w:t xml:space="preserve">Each party shall protect the other's Confidential Information with no less</w:t>
      </w:r>
      <w:r>
        <w:t xml:space="preserve"> </w:t>
      </w:r>
      <w:r>
        <w:t xml:space="preserve">care than it uses for its own. The receiving party shall return or destroy</w:t>
      </w:r>
      <w:r>
        <w:t xml:space="preserve"> </w:t>
      </w:r>
      <w:r>
        <w:t xml:space="preserve">Confidential Information on the disclosing party's written request.</w:t>
      </w:r>
    </w:p>
    <w:p>
      <w:pPr>
        <w:pStyle w:val="Heading2"/>
      </w:pPr>
      <w:r>
        <w:t xml:space="preserve">4. Term and Termination</w:t>
      </w:r>
    </w:p>
    <w:p>
      <w:r>
        <w:t xml:space="preserve">This Agreement begins on February 1, 2026 and runs until either party ends</w:t>
      </w:r>
      <w:r>
        <w:t xml:space="preserve"> </w:t>
      </w:r>
      <w:r>
        <w:t xml:space="preserve">it with ninety days written notice.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