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6.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WA"/>
      </w:pPr>
      <w:r>
        <w:rPr>
          <w:noProof/>
        </w:rPr>
        <w:drawing>
          <wp:anchor distT="0" distB="0" distL="114300" distR="114300" simplePos="0" relativeHeight="251662336" behindDoc="0" locked="0" layoutInCell="1" allowOverlap="1">
            <wp:simplePos x="0" y="0"/>
            <wp:positionH relativeFrom="column">
              <wp:posOffset>1981200</wp:posOffset>
            </wp:positionH>
            <wp:positionV relativeFrom="paragraph">
              <wp:posOffset>-517525</wp:posOffset>
            </wp:positionV>
            <wp:extent cx="631190" cy="505460"/>
            <wp:effectExtent l="0" t="0" r="0" b="8890"/>
            <wp:wrapNone/>
            <wp:docPr id="13" name="Picture 13" descr="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res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1190" cy="505460"/>
                    </a:xfrm>
                    <a:prstGeom prst="rect">
                      <a:avLst/>
                    </a:prstGeom>
                    <a:noFill/>
                    <a:ln>
                      <a:noFill/>
                    </a:ln>
                  </pic:spPr>
                </pic:pic>
              </a:graphicData>
            </a:graphic>
            <wp14:sizeRelH relativeFrom="page">
              <wp14:pctWidth>0</wp14:pctWidth>
            </wp14:sizeRelH>
            <wp14:sizeRelV relativeFrom="page">
              <wp14:pctHeight>0</wp14:pctHeight>
            </wp14:sizeRelV>
          </wp:anchor>
        </w:drawing>
      </w:r>
      <w:r>
        <w:t>Western Australia</w:t>
      </w:r>
    </w:p>
    <w:p>
      <w:pPr>
        <w:pStyle w:val="PrincipalActRegPage1"/>
      </w:pPr>
      <w:r>
        <w:fldChar w:fldCharType="begin"/>
      </w:r>
      <w:r>
        <w:instrText xml:space="preserve"> STYLEREF "PrincipalAct_Reg"</w:instrText>
      </w:r>
      <w:r>
        <w:fldChar w:fldCharType="separate"/>
      </w:r>
      <w:r>
        <w:rPr>
          <w:noProof/>
        </w:rPr>
        <w:t>Health (Miscellaneous Provisions) Act 1911</w:t>
      </w:r>
      <w:r>
        <w:fldChar w:fldCharType="end"/>
      </w:r>
    </w:p>
    <w:p>
      <w:pPr>
        <w:pStyle w:val="NameofActRegPage1"/>
        <w:spacing w:before="1500" w:after="2200"/>
        <w:outlineLvl w:val="0"/>
      </w:pPr>
      <w:r>
        <w:fldChar w:fldCharType="begin"/>
      </w:r>
      <w:r>
        <w:instrText xml:space="preserve"> STYLEREF "Name Of Act/Reg"</w:instrText>
      </w:r>
      <w:r>
        <w:fldChar w:fldCharType="separate"/>
      </w:r>
      <w:r>
        <w:rPr>
          <w:noProof/>
        </w:rPr>
        <w:t>Construction Camp Regulations</w:t>
      </w:r>
      <w:r>
        <w:fldChar w:fldCharType="end"/>
      </w:r>
    </w:p>
    <w:p>
      <w:pPr>
        <w:pStyle w:val="Subsection"/>
      </w:pPr>
      <w:r>
        <w:tab/>
      </w:r>
      <w:r>
        <w:tab/>
        <w:t xml:space="preserve">These regulations were repealed by the </w:t>
      </w:r>
      <w:r>
        <w:rPr>
          <w:i/>
          <w:iCs/>
        </w:rPr>
        <w:t>Health Regulations Repeal Regulations (No. 3) 2024</w:t>
      </w:r>
      <w:r>
        <w:t xml:space="preserve"> r. 3(a) on 4 Jun 2024 (see SL 2024/67 r. 2(b)).</w:t>
      </w:r>
    </w:p>
    <w:p/>
    <w:p>
      <w:pPr>
        <w:jc w:val="center"/>
        <w:sectPr>
          <w:headerReference w:type="even" r:id="rId8"/>
          <w:headerReference w:type="default" r:id="rId9"/>
          <w:footerReference w:type="even" r:id="rId10"/>
          <w:footerReference w:type="default" r:id="rId11"/>
          <w:headerReference w:type="first" r:id="rId12"/>
          <w:footerReference w:type="first" r:id="rId13"/>
          <w:pgSz w:w="11907" w:h="16840" w:code="9"/>
          <w:pgMar w:top="2376" w:right="2405" w:bottom="3542" w:left="2405" w:header="706" w:footer="3544" w:gutter="0"/>
          <w:pgNumType w:fmt="lowerRoman" w:start="1"/>
          <w:cols w:space="720"/>
          <w:noEndnote/>
          <w:titlePg/>
          <w:docGrid w:linePitch="326"/>
        </w:sectPr>
      </w:pPr>
    </w:p>
    <w:p>
      <w:pPr>
        <w:pStyle w:val="WA"/>
      </w:pPr>
      <w:r>
        <w:lastRenderedPageBreak/>
        <w:t>Western Australia</w:t>
      </w:r>
    </w:p>
    <w:p>
      <w:pPr>
        <w:pStyle w:val="NameofActRegPage1"/>
      </w:pPr>
      <w:r>
        <w:fldChar w:fldCharType="begin"/>
      </w:r>
      <w:r>
        <w:instrText xml:space="preserve"> STYLEREF "Name Of Act/Reg"</w:instrText>
      </w:r>
      <w:r>
        <w:fldChar w:fldCharType="separate"/>
      </w:r>
      <w:r>
        <w:rPr>
          <w:noProof/>
        </w:rPr>
        <w:t>Construction Camp Regulations</w:t>
      </w:r>
      <w:r>
        <w:fldChar w:fldCharType="end"/>
      </w:r>
    </w:p>
    <w:p>
      <w:pPr>
        <w:pStyle w:val="Arrangement"/>
      </w:pPr>
      <w:r>
        <w:t>Contents</w:t>
      </w:r>
    </w:p>
    <w:p>
      <w:pPr>
        <w:pStyle w:val="TOC2"/>
        <w:tabs>
          <w:tab w:val="right" w:leader="dot" w:pos="7077"/>
        </w:tabs>
        <w:rPr>
          <w:rFonts w:asciiTheme="minorHAnsi" w:eastAsiaTheme="minorEastAsia" w:hAnsiTheme="minorHAnsi" w:cstheme="minorBidi"/>
          <w:b w:val="0"/>
          <w:sz w:val="22"/>
          <w:szCs w:val="22"/>
        </w:rPr>
      </w:pPr>
      <w:r>
        <w:fldChar w:fldCharType="begin"/>
      </w:r>
      <w:r>
        <w:instrText xml:space="preserve"> TOC \t "Heading 2,2,yScheduleHeading,2,yHeading 2,2,zHeading 2,3,zyScheduleHeading,3,zyHeading 2,3,Heading 3,4,yHeading 3,4,zHeading 3,5,zyHeading 3,5,Heading 4,6,yHeading 4,6,zHeading 4,7,zyHeading 4,7,Heading 5,8,yHeading 5,8,zHeading 5,9,zyHeading 5,9" \t "nHeading 2,2,nHeading 3,8" \n "2-7" \w \* MERGEFORMAT </w:instrText>
      </w:r>
      <w:r>
        <w:fldChar w:fldCharType="separate"/>
      </w:r>
      <w:r>
        <w:t>Part I — Preliminary</w:t>
      </w:r>
    </w:p>
    <w:p>
      <w:pPr>
        <w:pStyle w:val="TOC8"/>
        <w:rPr>
          <w:rFonts w:asciiTheme="minorHAnsi" w:eastAsiaTheme="minorEastAsia" w:hAnsiTheme="minorHAnsi" w:cstheme="minorBidi"/>
          <w:szCs w:val="22"/>
        </w:rPr>
      </w:pPr>
      <w:r>
        <w:t>1</w:t>
      </w:r>
      <w:r>
        <w:rPr>
          <w:snapToGrid w:val="0"/>
        </w:rPr>
        <w:t>.</w:t>
      </w:r>
      <w:r>
        <w:rPr>
          <w:snapToGrid w:val="0"/>
        </w:rPr>
        <w:tab/>
        <w:t>Citation</w:t>
      </w:r>
      <w:r>
        <w:tab/>
      </w:r>
      <w:r>
        <w:fldChar w:fldCharType="begin"/>
      </w:r>
      <w:r>
        <w:instrText xml:space="preserve"> PAGEREF _Toc167798616 \h </w:instrText>
      </w:r>
      <w:r>
        <w:fldChar w:fldCharType="separate"/>
      </w:r>
      <w:r>
        <w:t>1</w:t>
      </w:r>
      <w:r>
        <w:fldChar w:fldCharType="end"/>
      </w:r>
    </w:p>
    <w:p>
      <w:pPr>
        <w:pStyle w:val="TOC8"/>
        <w:rPr>
          <w:rFonts w:asciiTheme="minorHAnsi" w:eastAsiaTheme="minorEastAsia" w:hAnsiTheme="minorHAnsi" w:cstheme="minorBidi"/>
          <w:szCs w:val="22"/>
        </w:rPr>
      </w:pPr>
      <w:r>
        <w:t>4</w:t>
      </w:r>
      <w:r>
        <w:rPr>
          <w:snapToGrid w:val="0"/>
        </w:rPr>
        <w:t>.</w:t>
      </w:r>
      <w:r>
        <w:rPr>
          <w:snapToGrid w:val="0"/>
        </w:rPr>
        <w:tab/>
        <w:t>Onus</w:t>
      </w:r>
      <w:r>
        <w:tab/>
      </w:r>
      <w:r>
        <w:fldChar w:fldCharType="begin"/>
      </w:r>
      <w:r>
        <w:instrText xml:space="preserve"> PAGEREF _Toc167798617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Part II — General regulations for construction camps</w:t>
      </w:r>
    </w:p>
    <w:p>
      <w:pPr>
        <w:pStyle w:val="TOC8"/>
        <w:rPr>
          <w:rFonts w:asciiTheme="minorHAnsi" w:eastAsiaTheme="minorEastAsia" w:hAnsiTheme="minorHAnsi" w:cstheme="minorBidi"/>
          <w:szCs w:val="22"/>
        </w:rPr>
      </w:pPr>
      <w:r>
        <w:t>5</w:t>
      </w:r>
      <w:r>
        <w:rPr>
          <w:snapToGrid w:val="0"/>
        </w:rPr>
        <w:t>.</w:t>
      </w:r>
      <w:r>
        <w:rPr>
          <w:snapToGrid w:val="0"/>
        </w:rPr>
        <w:tab/>
        <w:t>Definitions</w:t>
      </w:r>
      <w:r>
        <w:tab/>
      </w:r>
      <w:r>
        <w:fldChar w:fldCharType="begin"/>
      </w:r>
      <w:r>
        <w:instrText xml:space="preserve"> PAGEREF _Toc167798619 \h </w:instrText>
      </w:r>
      <w:r>
        <w:fldChar w:fldCharType="separate"/>
      </w:r>
      <w:r>
        <w:t>1</w:t>
      </w:r>
      <w:r>
        <w:fldChar w:fldCharType="end"/>
      </w:r>
    </w:p>
    <w:p>
      <w:pPr>
        <w:pStyle w:val="TOC8"/>
        <w:rPr>
          <w:rFonts w:asciiTheme="minorHAnsi" w:eastAsiaTheme="minorEastAsia" w:hAnsiTheme="minorHAnsi" w:cstheme="minorBidi"/>
          <w:szCs w:val="22"/>
        </w:rPr>
      </w:pPr>
      <w:r>
        <w:t>6</w:t>
      </w:r>
      <w:r>
        <w:rPr>
          <w:snapToGrid w:val="0"/>
        </w:rPr>
        <w:t>.</w:t>
      </w:r>
      <w:r>
        <w:rPr>
          <w:snapToGrid w:val="0"/>
        </w:rPr>
        <w:tab/>
        <w:t>Application</w:t>
      </w:r>
      <w:r>
        <w:tab/>
      </w:r>
      <w:r>
        <w:fldChar w:fldCharType="begin"/>
      </w:r>
      <w:r>
        <w:instrText xml:space="preserve"> PAGEREF _Toc167798620 \h </w:instrText>
      </w:r>
      <w:r>
        <w:fldChar w:fldCharType="separate"/>
      </w:r>
      <w:r>
        <w:t>1</w:t>
      </w:r>
      <w:r>
        <w:fldChar w:fldCharType="end"/>
      </w:r>
    </w:p>
    <w:p>
      <w:pPr>
        <w:pStyle w:val="TOC8"/>
        <w:rPr>
          <w:rFonts w:asciiTheme="minorHAnsi" w:eastAsiaTheme="minorEastAsia" w:hAnsiTheme="minorHAnsi" w:cstheme="minorBidi"/>
          <w:szCs w:val="22"/>
        </w:rPr>
      </w:pPr>
      <w:r>
        <w:t>7</w:t>
      </w:r>
      <w:r>
        <w:rPr>
          <w:snapToGrid w:val="0"/>
        </w:rPr>
        <w:t>.</w:t>
      </w:r>
      <w:r>
        <w:rPr>
          <w:snapToGrid w:val="0"/>
        </w:rPr>
        <w:tab/>
        <w:t>Doors and light in sleeping quarters</w:t>
      </w:r>
      <w:r>
        <w:tab/>
      </w:r>
      <w:r>
        <w:fldChar w:fldCharType="begin"/>
      </w:r>
      <w:r>
        <w:instrText xml:space="preserve"> PAGEREF _Toc167798621 \h </w:instrText>
      </w:r>
      <w:r>
        <w:fldChar w:fldCharType="separate"/>
      </w:r>
      <w:r>
        <w:t>1</w:t>
      </w:r>
      <w:r>
        <w:fldChar w:fldCharType="end"/>
      </w:r>
    </w:p>
    <w:p>
      <w:pPr>
        <w:pStyle w:val="TOC8"/>
        <w:rPr>
          <w:rFonts w:asciiTheme="minorHAnsi" w:eastAsiaTheme="minorEastAsia" w:hAnsiTheme="minorHAnsi" w:cstheme="minorBidi"/>
          <w:szCs w:val="22"/>
        </w:rPr>
      </w:pPr>
      <w:r>
        <w:t>8</w:t>
      </w:r>
      <w:r>
        <w:rPr>
          <w:snapToGrid w:val="0"/>
        </w:rPr>
        <w:t>.</w:t>
      </w:r>
      <w:r>
        <w:rPr>
          <w:snapToGrid w:val="0"/>
        </w:rPr>
        <w:tab/>
        <w:t>Air space in sleeping quarters</w:t>
      </w:r>
      <w:r>
        <w:tab/>
      </w:r>
      <w:r>
        <w:fldChar w:fldCharType="begin"/>
      </w:r>
      <w:r>
        <w:instrText xml:space="preserve"> PAGEREF _Toc167798622 \h </w:instrText>
      </w:r>
      <w:r>
        <w:fldChar w:fldCharType="separate"/>
      </w:r>
      <w:r>
        <w:t>1</w:t>
      </w:r>
      <w:r>
        <w:fldChar w:fldCharType="end"/>
      </w:r>
    </w:p>
    <w:p>
      <w:pPr>
        <w:pStyle w:val="TOC8"/>
        <w:rPr>
          <w:rFonts w:asciiTheme="minorHAnsi" w:eastAsiaTheme="minorEastAsia" w:hAnsiTheme="minorHAnsi" w:cstheme="minorBidi"/>
          <w:szCs w:val="22"/>
        </w:rPr>
      </w:pPr>
      <w:r>
        <w:t>9</w:t>
      </w:r>
      <w:r>
        <w:rPr>
          <w:snapToGrid w:val="0"/>
        </w:rPr>
        <w:t>.</w:t>
      </w:r>
      <w:r>
        <w:rPr>
          <w:snapToGrid w:val="0"/>
        </w:rPr>
        <w:tab/>
        <w:t>Ventilation of sleeping quarters</w:t>
      </w:r>
      <w:r>
        <w:tab/>
      </w:r>
      <w:r>
        <w:fldChar w:fldCharType="begin"/>
      </w:r>
      <w:r>
        <w:instrText xml:space="preserve"> PAGEREF _Toc167798623 \h </w:instrText>
      </w:r>
      <w:r>
        <w:fldChar w:fldCharType="separate"/>
      </w:r>
      <w:r>
        <w:t>1</w:t>
      </w:r>
      <w:r>
        <w:fldChar w:fldCharType="end"/>
      </w:r>
    </w:p>
    <w:p>
      <w:pPr>
        <w:pStyle w:val="TOC8"/>
        <w:rPr>
          <w:rFonts w:asciiTheme="minorHAnsi" w:eastAsiaTheme="minorEastAsia" w:hAnsiTheme="minorHAnsi" w:cstheme="minorBidi"/>
          <w:szCs w:val="22"/>
        </w:rPr>
      </w:pPr>
      <w:r>
        <w:t>10</w:t>
      </w:r>
      <w:r>
        <w:rPr>
          <w:snapToGrid w:val="0"/>
        </w:rPr>
        <w:t>.</w:t>
      </w:r>
      <w:r>
        <w:rPr>
          <w:snapToGrid w:val="0"/>
        </w:rPr>
        <w:tab/>
        <w:t>Space between beds</w:t>
      </w:r>
      <w:r>
        <w:tab/>
      </w:r>
      <w:r>
        <w:fldChar w:fldCharType="begin"/>
      </w:r>
      <w:r>
        <w:instrText xml:space="preserve"> PAGEREF _Toc167798624 \h </w:instrText>
      </w:r>
      <w:r>
        <w:fldChar w:fldCharType="separate"/>
      </w:r>
      <w:r>
        <w:t>1</w:t>
      </w:r>
      <w:r>
        <w:fldChar w:fldCharType="end"/>
      </w:r>
    </w:p>
    <w:p>
      <w:pPr>
        <w:pStyle w:val="TOC8"/>
        <w:rPr>
          <w:rFonts w:asciiTheme="minorHAnsi" w:eastAsiaTheme="minorEastAsia" w:hAnsiTheme="minorHAnsi" w:cstheme="minorBidi"/>
          <w:szCs w:val="22"/>
        </w:rPr>
      </w:pPr>
      <w:r>
        <w:t>11</w:t>
      </w:r>
      <w:r>
        <w:rPr>
          <w:snapToGrid w:val="0"/>
        </w:rPr>
        <w:t>.</w:t>
      </w:r>
      <w:r>
        <w:rPr>
          <w:snapToGrid w:val="0"/>
        </w:rPr>
        <w:tab/>
        <w:t>Cooking prohibited in sleeping quarters</w:t>
      </w:r>
      <w:r>
        <w:tab/>
      </w:r>
      <w:r>
        <w:fldChar w:fldCharType="begin"/>
      </w:r>
      <w:r>
        <w:instrText xml:space="preserve"> PAGEREF _Toc167798625 \h </w:instrText>
      </w:r>
      <w:r>
        <w:fldChar w:fldCharType="separate"/>
      </w:r>
      <w:r>
        <w:t>1</w:t>
      </w:r>
      <w:r>
        <w:fldChar w:fldCharType="end"/>
      </w:r>
    </w:p>
    <w:p>
      <w:pPr>
        <w:pStyle w:val="TOC8"/>
        <w:rPr>
          <w:rFonts w:asciiTheme="minorHAnsi" w:eastAsiaTheme="minorEastAsia" w:hAnsiTheme="minorHAnsi" w:cstheme="minorBidi"/>
          <w:szCs w:val="22"/>
        </w:rPr>
      </w:pPr>
      <w:r>
        <w:t>12</w:t>
      </w:r>
      <w:r>
        <w:rPr>
          <w:snapToGrid w:val="0"/>
        </w:rPr>
        <w:t>.</w:t>
      </w:r>
      <w:r>
        <w:rPr>
          <w:snapToGrid w:val="0"/>
        </w:rPr>
        <w:tab/>
        <w:t>Ventilation of kitchen</w:t>
      </w:r>
      <w:r>
        <w:tab/>
      </w:r>
      <w:r>
        <w:fldChar w:fldCharType="begin"/>
      </w:r>
      <w:r>
        <w:instrText xml:space="preserve"> PAGEREF _Toc167798626 \h </w:instrText>
      </w:r>
      <w:r>
        <w:fldChar w:fldCharType="separate"/>
      </w:r>
      <w:r>
        <w:t>1</w:t>
      </w:r>
      <w:r>
        <w:fldChar w:fldCharType="end"/>
      </w:r>
    </w:p>
    <w:p>
      <w:pPr>
        <w:pStyle w:val="TOC8"/>
        <w:rPr>
          <w:rFonts w:asciiTheme="minorHAnsi" w:eastAsiaTheme="minorEastAsia" w:hAnsiTheme="minorHAnsi" w:cstheme="minorBidi"/>
          <w:szCs w:val="22"/>
        </w:rPr>
      </w:pPr>
      <w:r>
        <w:t>13</w:t>
      </w:r>
      <w:r>
        <w:rPr>
          <w:snapToGrid w:val="0"/>
        </w:rPr>
        <w:t>.</w:t>
      </w:r>
      <w:r>
        <w:rPr>
          <w:snapToGrid w:val="0"/>
        </w:rPr>
        <w:tab/>
        <w:t>Kitchen stoves</w:t>
      </w:r>
      <w:r>
        <w:tab/>
      </w:r>
      <w:r>
        <w:fldChar w:fldCharType="begin"/>
      </w:r>
      <w:r>
        <w:instrText xml:space="preserve"> PAGEREF _Toc167798627 \h </w:instrText>
      </w:r>
      <w:r>
        <w:fldChar w:fldCharType="separate"/>
      </w:r>
      <w:r>
        <w:t>1</w:t>
      </w:r>
      <w:r>
        <w:fldChar w:fldCharType="end"/>
      </w:r>
    </w:p>
    <w:p>
      <w:pPr>
        <w:pStyle w:val="TOC8"/>
        <w:rPr>
          <w:rFonts w:asciiTheme="minorHAnsi" w:eastAsiaTheme="minorEastAsia" w:hAnsiTheme="minorHAnsi" w:cstheme="minorBidi"/>
          <w:szCs w:val="22"/>
        </w:rPr>
      </w:pPr>
      <w:r>
        <w:t>14</w:t>
      </w:r>
      <w:r>
        <w:rPr>
          <w:snapToGrid w:val="0"/>
        </w:rPr>
        <w:t>.</w:t>
      </w:r>
      <w:r>
        <w:rPr>
          <w:snapToGrid w:val="0"/>
        </w:rPr>
        <w:tab/>
        <w:t>Kitchen protection against insects</w:t>
      </w:r>
      <w:r>
        <w:tab/>
      </w:r>
      <w:r>
        <w:fldChar w:fldCharType="begin"/>
      </w:r>
      <w:r>
        <w:instrText xml:space="preserve"> PAGEREF _Toc167798628 \h </w:instrText>
      </w:r>
      <w:r>
        <w:fldChar w:fldCharType="separate"/>
      </w:r>
      <w:r>
        <w:t>1</w:t>
      </w:r>
      <w:r>
        <w:fldChar w:fldCharType="end"/>
      </w:r>
    </w:p>
    <w:p>
      <w:pPr>
        <w:pStyle w:val="TOC8"/>
        <w:rPr>
          <w:rFonts w:asciiTheme="minorHAnsi" w:eastAsiaTheme="minorEastAsia" w:hAnsiTheme="minorHAnsi" w:cstheme="minorBidi"/>
          <w:szCs w:val="22"/>
        </w:rPr>
      </w:pPr>
      <w:r>
        <w:t>15</w:t>
      </w:r>
      <w:r>
        <w:rPr>
          <w:snapToGrid w:val="0"/>
        </w:rPr>
        <w:t>.</w:t>
      </w:r>
      <w:r>
        <w:rPr>
          <w:snapToGrid w:val="0"/>
        </w:rPr>
        <w:tab/>
        <w:t>Kitchen floor</w:t>
      </w:r>
      <w:r>
        <w:tab/>
      </w:r>
      <w:r>
        <w:fldChar w:fldCharType="begin"/>
      </w:r>
      <w:r>
        <w:instrText xml:space="preserve"> PAGEREF _Toc167798629 \h </w:instrText>
      </w:r>
      <w:r>
        <w:fldChar w:fldCharType="separate"/>
      </w:r>
      <w:r>
        <w:t>1</w:t>
      </w:r>
      <w:r>
        <w:fldChar w:fldCharType="end"/>
      </w:r>
    </w:p>
    <w:p>
      <w:pPr>
        <w:pStyle w:val="TOC8"/>
        <w:rPr>
          <w:rFonts w:asciiTheme="minorHAnsi" w:eastAsiaTheme="minorEastAsia" w:hAnsiTheme="minorHAnsi" w:cstheme="minorBidi"/>
          <w:szCs w:val="22"/>
        </w:rPr>
      </w:pPr>
      <w:r>
        <w:t>16</w:t>
      </w:r>
      <w:r>
        <w:rPr>
          <w:snapToGrid w:val="0"/>
        </w:rPr>
        <w:t>.</w:t>
      </w:r>
      <w:r>
        <w:rPr>
          <w:snapToGrid w:val="0"/>
        </w:rPr>
        <w:tab/>
        <w:t>Kitchen facilities</w:t>
      </w:r>
      <w:r>
        <w:tab/>
      </w:r>
      <w:r>
        <w:fldChar w:fldCharType="begin"/>
      </w:r>
      <w:r>
        <w:instrText xml:space="preserve"> PAGEREF _Toc167798630 \h </w:instrText>
      </w:r>
      <w:r>
        <w:fldChar w:fldCharType="separate"/>
      </w:r>
      <w:r>
        <w:t>1</w:t>
      </w:r>
      <w:r>
        <w:fldChar w:fldCharType="end"/>
      </w:r>
    </w:p>
    <w:p>
      <w:pPr>
        <w:pStyle w:val="TOC8"/>
        <w:rPr>
          <w:rFonts w:asciiTheme="minorHAnsi" w:eastAsiaTheme="minorEastAsia" w:hAnsiTheme="minorHAnsi" w:cstheme="minorBidi"/>
          <w:szCs w:val="22"/>
        </w:rPr>
      </w:pPr>
      <w:r>
        <w:t>17</w:t>
      </w:r>
      <w:r>
        <w:rPr>
          <w:snapToGrid w:val="0"/>
        </w:rPr>
        <w:t>.</w:t>
      </w:r>
      <w:r>
        <w:rPr>
          <w:snapToGrid w:val="0"/>
        </w:rPr>
        <w:tab/>
        <w:t>Kitchen cleansing</w:t>
      </w:r>
      <w:r>
        <w:tab/>
      </w:r>
      <w:r>
        <w:fldChar w:fldCharType="begin"/>
      </w:r>
      <w:r>
        <w:instrText xml:space="preserve"> PAGEREF _Toc167798631 \h </w:instrText>
      </w:r>
      <w:r>
        <w:fldChar w:fldCharType="separate"/>
      </w:r>
      <w:r>
        <w:t>1</w:t>
      </w:r>
      <w:r>
        <w:fldChar w:fldCharType="end"/>
      </w:r>
    </w:p>
    <w:p>
      <w:pPr>
        <w:pStyle w:val="TOC8"/>
        <w:rPr>
          <w:rFonts w:asciiTheme="minorHAnsi" w:eastAsiaTheme="minorEastAsia" w:hAnsiTheme="minorHAnsi" w:cstheme="minorBidi"/>
          <w:szCs w:val="22"/>
        </w:rPr>
      </w:pPr>
      <w:r>
        <w:t>18</w:t>
      </w:r>
      <w:r>
        <w:rPr>
          <w:snapToGrid w:val="0"/>
        </w:rPr>
        <w:t>.</w:t>
      </w:r>
      <w:r>
        <w:rPr>
          <w:snapToGrid w:val="0"/>
        </w:rPr>
        <w:tab/>
        <w:t>Dining room space</w:t>
      </w:r>
      <w:r>
        <w:tab/>
      </w:r>
      <w:r>
        <w:fldChar w:fldCharType="begin"/>
      </w:r>
      <w:r>
        <w:instrText xml:space="preserve"> PAGEREF _Toc167798632 \h </w:instrText>
      </w:r>
      <w:r>
        <w:fldChar w:fldCharType="separate"/>
      </w:r>
      <w:r>
        <w:t>1</w:t>
      </w:r>
      <w:r>
        <w:fldChar w:fldCharType="end"/>
      </w:r>
    </w:p>
    <w:p>
      <w:pPr>
        <w:pStyle w:val="TOC8"/>
        <w:rPr>
          <w:rFonts w:asciiTheme="minorHAnsi" w:eastAsiaTheme="minorEastAsia" w:hAnsiTheme="minorHAnsi" w:cstheme="minorBidi"/>
          <w:szCs w:val="22"/>
        </w:rPr>
      </w:pPr>
      <w:r>
        <w:t>19</w:t>
      </w:r>
      <w:r>
        <w:rPr>
          <w:snapToGrid w:val="0"/>
        </w:rPr>
        <w:t>.</w:t>
      </w:r>
      <w:r>
        <w:rPr>
          <w:snapToGrid w:val="0"/>
        </w:rPr>
        <w:tab/>
        <w:t>Ventilation of dining room</w:t>
      </w:r>
      <w:r>
        <w:tab/>
      </w:r>
      <w:r>
        <w:fldChar w:fldCharType="begin"/>
      </w:r>
      <w:r>
        <w:instrText xml:space="preserve"> PAGEREF _Toc167798633 \h </w:instrText>
      </w:r>
      <w:r>
        <w:fldChar w:fldCharType="separate"/>
      </w:r>
      <w:r>
        <w:t>1</w:t>
      </w:r>
      <w:r>
        <w:fldChar w:fldCharType="end"/>
      </w:r>
    </w:p>
    <w:p>
      <w:pPr>
        <w:pStyle w:val="TOC8"/>
        <w:rPr>
          <w:rFonts w:asciiTheme="minorHAnsi" w:eastAsiaTheme="minorEastAsia" w:hAnsiTheme="minorHAnsi" w:cstheme="minorBidi"/>
          <w:szCs w:val="22"/>
        </w:rPr>
      </w:pPr>
      <w:r>
        <w:t>20</w:t>
      </w:r>
      <w:r>
        <w:rPr>
          <w:snapToGrid w:val="0"/>
        </w:rPr>
        <w:t>.</w:t>
      </w:r>
      <w:r>
        <w:rPr>
          <w:snapToGrid w:val="0"/>
        </w:rPr>
        <w:tab/>
        <w:t>Construction and lighting of dining room</w:t>
      </w:r>
      <w:r>
        <w:tab/>
      </w:r>
      <w:r>
        <w:fldChar w:fldCharType="begin"/>
      </w:r>
      <w:r>
        <w:instrText xml:space="preserve"> PAGEREF _Toc167798634 \h </w:instrText>
      </w:r>
      <w:r>
        <w:fldChar w:fldCharType="separate"/>
      </w:r>
      <w:r>
        <w:t>1</w:t>
      </w:r>
      <w:r>
        <w:fldChar w:fldCharType="end"/>
      </w:r>
    </w:p>
    <w:p>
      <w:pPr>
        <w:pStyle w:val="TOC8"/>
        <w:rPr>
          <w:rFonts w:asciiTheme="minorHAnsi" w:eastAsiaTheme="minorEastAsia" w:hAnsiTheme="minorHAnsi" w:cstheme="minorBidi"/>
          <w:szCs w:val="22"/>
        </w:rPr>
      </w:pPr>
      <w:r>
        <w:t>21</w:t>
      </w:r>
      <w:r>
        <w:rPr>
          <w:snapToGrid w:val="0"/>
        </w:rPr>
        <w:t>.</w:t>
      </w:r>
      <w:r>
        <w:rPr>
          <w:snapToGrid w:val="0"/>
        </w:rPr>
        <w:tab/>
        <w:t>Dining room insect protection</w:t>
      </w:r>
      <w:r>
        <w:tab/>
      </w:r>
      <w:r>
        <w:fldChar w:fldCharType="begin"/>
      </w:r>
      <w:r>
        <w:instrText xml:space="preserve"> PAGEREF _Toc167798635 \h </w:instrText>
      </w:r>
      <w:r>
        <w:fldChar w:fldCharType="separate"/>
      </w:r>
      <w:r>
        <w:t>1</w:t>
      </w:r>
      <w:r>
        <w:fldChar w:fldCharType="end"/>
      </w:r>
    </w:p>
    <w:p>
      <w:pPr>
        <w:pStyle w:val="TOC8"/>
        <w:rPr>
          <w:rFonts w:asciiTheme="minorHAnsi" w:eastAsiaTheme="minorEastAsia" w:hAnsiTheme="minorHAnsi" w:cstheme="minorBidi"/>
          <w:szCs w:val="22"/>
        </w:rPr>
      </w:pPr>
      <w:r>
        <w:t>22</w:t>
      </w:r>
      <w:r>
        <w:rPr>
          <w:snapToGrid w:val="0"/>
        </w:rPr>
        <w:t>.</w:t>
      </w:r>
      <w:r>
        <w:rPr>
          <w:snapToGrid w:val="0"/>
        </w:rPr>
        <w:tab/>
        <w:t>Tables</w:t>
      </w:r>
      <w:r>
        <w:tab/>
      </w:r>
      <w:r>
        <w:fldChar w:fldCharType="begin"/>
      </w:r>
      <w:r>
        <w:instrText xml:space="preserve"> PAGEREF _Toc167798636 \h </w:instrText>
      </w:r>
      <w:r>
        <w:fldChar w:fldCharType="separate"/>
      </w:r>
      <w:r>
        <w:t>1</w:t>
      </w:r>
      <w:r>
        <w:fldChar w:fldCharType="end"/>
      </w:r>
    </w:p>
    <w:p>
      <w:pPr>
        <w:pStyle w:val="TOC8"/>
        <w:rPr>
          <w:rFonts w:asciiTheme="minorHAnsi" w:eastAsiaTheme="minorEastAsia" w:hAnsiTheme="minorHAnsi" w:cstheme="minorBidi"/>
          <w:szCs w:val="22"/>
        </w:rPr>
      </w:pPr>
      <w:r>
        <w:t>23</w:t>
      </w:r>
      <w:r>
        <w:rPr>
          <w:snapToGrid w:val="0"/>
        </w:rPr>
        <w:t>.</w:t>
      </w:r>
      <w:r>
        <w:rPr>
          <w:snapToGrid w:val="0"/>
        </w:rPr>
        <w:tab/>
        <w:t>Sanitary and ablutionary facilities</w:t>
      </w:r>
      <w:r>
        <w:tab/>
      </w:r>
      <w:r>
        <w:fldChar w:fldCharType="begin"/>
      </w:r>
      <w:r>
        <w:instrText xml:space="preserve"> PAGEREF _Toc167798637 \h </w:instrText>
      </w:r>
      <w:r>
        <w:fldChar w:fldCharType="separate"/>
      </w:r>
      <w:r>
        <w:t>1</w:t>
      </w:r>
      <w:r>
        <w:fldChar w:fldCharType="end"/>
      </w:r>
    </w:p>
    <w:p>
      <w:pPr>
        <w:pStyle w:val="TOC8"/>
        <w:rPr>
          <w:rFonts w:asciiTheme="minorHAnsi" w:eastAsiaTheme="minorEastAsia" w:hAnsiTheme="minorHAnsi" w:cstheme="minorBidi"/>
          <w:szCs w:val="22"/>
        </w:rPr>
      </w:pPr>
      <w:r>
        <w:t>24</w:t>
      </w:r>
      <w:r>
        <w:rPr>
          <w:snapToGrid w:val="0"/>
        </w:rPr>
        <w:t>.</w:t>
      </w:r>
      <w:r>
        <w:rPr>
          <w:snapToGrid w:val="0"/>
        </w:rPr>
        <w:tab/>
        <w:t>Closets</w:t>
      </w:r>
      <w:r>
        <w:tab/>
      </w:r>
      <w:r>
        <w:fldChar w:fldCharType="begin"/>
      </w:r>
      <w:r>
        <w:instrText xml:space="preserve"> PAGEREF _Toc167798638 \h </w:instrText>
      </w:r>
      <w:r>
        <w:fldChar w:fldCharType="separate"/>
      </w:r>
      <w:r>
        <w:t>1</w:t>
      </w:r>
      <w:r>
        <w:fldChar w:fldCharType="end"/>
      </w:r>
    </w:p>
    <w:p>
      <w:pPr>
        <w:pStyle w:val="TOC8"/>
        <w:rPr>
          <w:rFonts w:asciiTheme="minorHAnsi" w:eastAsiaTheme="minorEastAsia" w:hAnsiTheme="minorHAnsi" w:cstheme="minorBidi"/>
          <w:szCs w:val="22"/>
        </w:rPr>
      </w:pPr>
      <w:r>
        <w:t>25</w:t>
      </w:r>
      <w:r>
        <w:rPr>
          <w:snapToGrid w:val="0"/>
        </w:rPr>
        <w:t>.</w:t>
      </w:r>
      <w:r>
        <w:rPr>
          <w:snapToGrid w:val="0"/>
        </w:rPr>
        <w:tab/>
        <w:t>Plumbing standards</w:t>
      </w:r>
      <w:r>
        <w:tab/>
      </w:r>
      <w:r>
        <w:fldChar w:fldCharType="begin"/>
      </w:r>
      <w:r>
        <w:instrText xml:space="preserve"> PAGEREF _Toc167798639 \h </w:instrText>
      </w:r>
      <w:r>
        <w:fldChar w:fldCharType="separate"/>
      </w:r>
      <w:r>
        <w:t>1</w:t>
      </w:r>
      <w:r>
        <w:fldChar w:fldCharType="end"/>
      </w:r>
    </w:p>
    <w:p>
      <w:pPr>
        <w:pStyle w:val="TOC8"/>
        <w:rPr>
          <w:rFonts w:asciiTheme="minorHAnsi" w:eastAsiaTheme="minorEastAsia" w:hAnsiTheme="minorHAnsi" w:cstheme="minorBidi"/>
          <w:szCs w:val="22"/>
        </w:rPr>
      </w:pPr>
      <w:r>
        <w:t>26</w:t>
      </w:r>
      <w:r>
        <w:rPr>
          <w:snapToGrid w:val="0"/>
        </w:rPr>
        <w:t>.</w:t>
      </w:r>
      <w:r>
        <w:rPr>
          <w:snapToGrid w:val="0"/>
        </w:rPr>
        <w:tab/>
        <w:t>Laundry facilities</w:t>
      </w:r>
      <w:r>
        <w:tab/>
      </w:r>
      <w:r>
        <w:fldChar w:fldCharType="begin"/>
      </w:r>
      <w:r>
        <w:instrText xml:space="preserve"> PAGEREF _Toc167798640 \h </w:instrText>
      </w:r>
      <w:r>
        <w:fldChar w:fldCharType="separate"/>
      </w:r>
      <w:r>
        <w:t>1</w:t>
      </w:r>
      <w:r>
        <w:fldChar w:fldCharType="end"/>
      </w:r>
    </w:p>
    <w:p>
      <w:pPr>
        <w:pStyle w:val="TOC8"/>
        <w:rPr>
          <w:rFonts w:asciiTheme="minorHAnsi" w:eastAsiaTheme="minorEastAsia" w:hAnsiTheme="minorHAnsi" w:cstheme="minorBidi"/>
          <w:szCs w:val="22"/>
        </w:rPr>
      </w:pPr>
      <w:r>
        <w:lastRenderedPageBreak/>
        <w:t>27</w:t>
      </w:r>
      <w:r>
        <w:rPr>
          <w:snapToGrid w:val="0"/>
        </w:rPr>
        <w:t>.</w:t>
      </w:r>
      <w:r>
        <w:rPr>
          <w:snapToGrid w:val="0"/>
        </w:rPr>
        <w:tab/>
        <w:t>Water supply</w:t>
      </w:r>
      <w:r>
        <w:tab/>
      </w:r>
      <w:r>
        <w:fldChar w:fldCharType="begin"/>
      </w:r>
      <w:r>
        <w:instrText xml:space="preserve"> PAGEREF _Toc167798641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Part III — Caravans used in construction camps</w:t>
      </w:r>
    </w:p>
    <w:p>
      <w:pPr>
        <w:pStyle w:val="TOC8"/>
        <w:rPr>
          <w:rFonts w:asciiTheme="minorHAnsi" w:eastAsiaTheme="minorEastAsia" w:hAnsiTheme="minorHAnsi" w:cstheme="minorBidi"/>
          <w:szCs w:val="22"/>
        </w:rPr>
      </w:pPr>
      <w:r>
        <w:t>28</w:t>
      </w:r>
      <w:r>
        <w:rPr>
          <w:snapToGrid w:val="0"/>
        </w:rPr>
        <w:t>.</w:t>
      </w:r>
      <w:r>
        <w:rPr>
          <w:snapToGrid w:val="0"/>
        </w:rPr>
        <w:tab/>
        <w:t>Definitions</w:t>
      </w:r>
      <w:r>
        <w:tab/>
      </w:r>
      <w:r>
        <w:fldChar w:fldCharType="begin"/>
      </w:r>
      <w:r>
        <w:instrText xml:space="preserve"> PAGEREF _Toc167798643 \h </w:instrText>
      </w:r>
      <w:r>
        <w:fldChar w:fldCharType="separate"/>
      </w:r>
      <w:r>
        <w:t>1</w:t>
      </w:r>
      <w:r>
        <w:fldChar w:fldCharType="end"/>
      </w:r>
    </w:p>
    <w:p>
      <w:pPr>
        <w:pStyle w:val="TOC8"/>
        <w:rPr>
          <w:rFonts w:asciiTheme="minorHAnsi" w:eastAsiaTheme="minorEastAsia" w:hAnsiTheme="minorHAnsi" w:cstheme="minorBidi"/>
          <w:szCs w:val="22"/>
        </w:rPr>
      </w:pPr>
      <w:r>
        <w:t>29</w:t>
      </w:r>
      <w:r>
        <w:rPr>
          <w:snapToGrid w:val="0"/>
        </w:rPr>
        <w:t>.</w:t>
      </w:r>
      <w:r>
        <w:rPr>
          <w:snapToGrid w:val="0"/>
        </w:rPr>
        <w:tab/>
        <w:t>Floor areas in residential caravans</w:t>
      </w:r>
      <w:r>
        <w:tab/>
      </w:r>
      <w:r>
        <w:fldChar w:fldCharType="begin"/>
      </w:r>
      <w:r>
        <w:instrText xml:space="preserve"> PAGEREF _Toc167798644 \h </w:instrText>
      </w:r>
      <w:r>
        <w:fldChar w:fldCharType="separate"/>
      </w:r>
      <w:r>
        <w:t>1</w:t>
      </w:r>
      <w:r>
        <w:fldChar w:fldCharType="end"/>
      </w:r>
    </w:p>
    <w:p>
      <w:pPr>
        <w:pStyle w:val="TOC8"/>
        <w:rPr>
          <w:rFonts w:asciiTheme="minorHAnsi" w:eastAsiaTheme="minorEastAsia" w:hAnsiTheme="minorHAnsi" w:cstheme="minorBidi"/>
          <w:szCs w:val="22"/>
        </w:rPr>
      </w:pPr>
      <w:r>
        <w:t>30</w:t>
      </w:r>
      <w:r>
        <w:rPr>
          <w:snapToGrid w:val="0"/>
        </w:rPr>
        <w:t>.</w:t>
      </w:r>
      <w:r>
        <w:rPr>
          <w:snapToGrid w:val="0"/>
        </w:rPr>
        <w:tab/>
        <w:t>Ceiling heights in residential caravans</w:t>
      </w:r>
      <w:r>
        <w:tab/>
      </w:r>
      <w:r>
        <w:fldChar w:fldCharType="begin"/>
      </w:r>
      <w:r>
        <w:instrText xml:space="preserve"> PAGEREF _Toc167798645 \h </w:instrText>
      </w:r>
      <w:r>
        <w:fldChar w:fldCharType="separate"/>
      </w:r>
      <w:r>
        <w:t>1</w:t>
      </w:r>
      <w:r>
        <w:fldChar w:fldCharType="end"/>
      </w:r>
    </w:p>
    <w:p>
      <w:pPr>
        <w:pStyle w:val="TOC8"/>
        <w:rPr>
          <w:rFonts w:asciiTheme="minorHAnsi" w:eastAsiaTheme="minorEastAsia" w:hAnsiTheme="minorHAnsi" w:cstheme="minorBidi"/>
          <w:szCs w:val="22"/>
        </w:rPr>
      </w:pPr>
      <w:r>
        <w:t>31</w:t>
      </w:r>
      <w:r>
        <w:rPr>
          <w:snapToGrid w:val="0"/>
        </w:rPr>
        <w:t>.</w:t>
      </w:r>
      <w:r>
        <w:rPr>
          <w:snapToGrid w:val="0"/>
        </w:rPr>
        <w:tab/>
        <w:t>Toilet compartments in relation to food preparation</w:t>
      </w:r>
      <w:r>
        <w:tab/>
      </w:r>
      <w:r>
        <w:fldChar w:fldCharType="begin"/>
      </w:r>
      <w:r>
        <w:instrText xml:space="preserve"> PAGEREF _Toc167798646 \h </w:instrText>
      </w:r>
      <w:r>
        <w:fldChar w:fldCharType="separate"/>
      </w:r>
      <w:r>
        <w:t>1</w:t>
      </w:r>
      <w:r>
        <w:fldChar w:fldCharType="end"/>
      </w:r>
    </w:p>
    <w:p>
      <w:pPr>
        <w:pStyle w:val="TOC8"/>
        <w:rPr>
          <w:rFonts w:asciiTheme="minorHAnsi" w:eastAsiaTheme="minorEastAsia" w:hAnsiTheme="minorHAnsi" w:cstheme="minorBidi"/>
          <w:szCs w:val="22"/>
        </w:rPr>
      </w:pPr>
      <w:r>
        <w:t>32</w:t>
      </w:r>
      <w:r>
        <w:rPr>
          <w:snapToGrid w:val="0"/>
        </w:rPr>
        <w:t>.</w:t>
      </w:r>
      <w:r>
        <w:rPr>
          <w:snapToGrid w:val="0"/>
        </w:rPr>
        <w:tab/>
        <w:t>Separate sleeping compartments</w:t>
      </w:r>
      <w:r>
        <w:tab/>
      </w:r>
      <w:r>
        <w:fldChar w:fldCharType="begin"/>
      </w:r>
      <w:r>
        <w:instrText xml:space="preserve"> PAGEREF _Toc167798647 \h </w:instrText>
      </w:r>
      <w:r>
        <w:fldChar w:fldCharType="separate"/>
      </w:r>
      <w:r>
        <w:t>1</w:t>
      </w:r>
      <w:r>
        <w:fldChar w:fldCharType="end"/>
      </w:r>
    </w:p>
    <w:p>
      <w:pPr>
        <w:pStyle w:val="TOC8"/>
        <w:rPr>
          <w:rFonts w:asciiTheme="minorHAnsi" w:eastAsiaTheme="minorEastAsia" w:hAnsiTheme="minorHAnsi" w:cstheme="minorBidi"/>
          <w:szCs w:val="22"/>
        </w:rPr>
      </w:pPr>
      <w:r>
        <w:t>33</w:t>
      </w:r>
      <w:r>
        <w:rPr>
          <w:snapToGrid w:val="0"/>
        </w:rPr>
        <w:t>.</w:t>
      </w:r>
      <w:r>
        <w:rPr>
          <w:snapToGrid w:val="0"/>
        </w:rPr>
        <w:tab/>
        <w:t>Sleeping compartment dimensions</w:t>
      </w:r>
      <w:r>
        <w:tab/>
      </w:r>
      <w:r>
        <w:fldChar w:fldCharType="begin"/>
      </w:r>
      <w:r>
        <w:instrText xml:space="preserve"> PAGEREF _Toc167798648 \h </w:instrText>
      </w:r>
      <w:r>
        <w:fldChar w:fldCharType="separate"/>
      </w:r>
      <w:r>
        <w:t>1</w:t>
      </w:r>
      <w:r>
        <w:fldChar w:fldCharType="end"/>
      </w:r>
    </w:p>
    <w:p>
      <w:pPr>
        <w:pStyle w:val="TOC8"/>
        <w:rPr>
          <w:rFonts w:asciiTheme="minorHAnsi" w:eastAsiaTheme="minorEastAsia" w:hAnsiTheme="minorHAnsi" w:cstheme="minorBidi"/>
          <w:szCs w:val="22"/>
        </w:rPr>
      </w:pPr>
      <w:r>
        <w:t>34</w:t>
      </w:r>
      <w:r>
        <w:rPr>
          <w:snapToGrid w:val="0"/>
        </w:rPr>
        <w:t>.</w:t>
      </w:r>
      <w:r>
        <w:rPr>
          <w:snapToGrid w:val="0"/>
        </w:rPr>
        <w:tab/>
        <w:t>Fly wire</w:t>
      </w:r>
      <w:r>
        <w:tab/>
      </w:r>
      <w:r>
        <w:fldChar w:fldCharType="begin"/>
      </w:r>
      <w:r>
        <w:instrText xml:space="preserve"> PAGEREF _Toc167798649 \h </w:instrText>
      </w:r>
      <w:r>
        <w:fldChar w:fldCharType="separate"/>
      </w:r>
      <w:r>
        <w:t>1</w:t>
      </w:r>
      <w:r>
        <w:fldChar w:fldCharType="end"/>
      </w:r>
    </w:p>
    <w:p>
      <w:pPr>
        <w:pStyle w:val="TOC8"/>
        <w:rPr>
          <w:rFonts w:asciiTheme="minorHAnsi" w:eastAsiaTheme="minorEastAsia" w:hAnsiTheme="minorHAnsi" w:cstheme="minorBidi"/>
          <w:szCs w:val="22"/>
        </w:rPr>
      </w:pPr>
      <w:r>
        <w:t>35</w:t>
      </w:r>
      <w:r>
        <w:rPr>
          <w:snapToGrid w:val="0"/>
        </w:rPr>
        <w:t>.</w:t>
      </w:r>
      <w:r>
        <w:rPr>
          <w:snapToGrid w:val="0"/>
        </w:rPr>
        <w:tab/>
        <w:t>Dining caravans</w:t>
      </w:r>
      <w:r>
        <w:tab/>
      </w:r>
      <w:r>
        <w:fldChar w:fldCharType="begin"/>
      </w:r>
      <w:r>
        <w:instrText xml:space="preserve"> PAGEREF _Toc167798650 \h </w:instrText>
      </w:r>
      <w:r>
        <w:fldChar w:fldCharType="separate"/>
      </w:r>
      <w:r>
        <w:t>1</w:t>
      </w:r>
      <w:r>
        <w:fldChar w:fldCharType="end"/>
      </w:r>
    </w:p>
    <w:p>
      <w:pPr>
        <w:pStyle w:val="TOC8"/>
        <w:rPr>
          <w:rFonts w:asciiTheme="minorHAnsi" w:eastAsiaTheme="minorEastAsia" w:hAnsiTheme="minorHAnsi" w:cstheme="minorBidi"/>
          <w:szCs w:val="22"/>
        </w:rPr>
      </w:pPr>
      <w:r>
        <w:t>36</w:t>
      </w:r>
      <w:r>
        <w:rPr>
          <w:snapToGrid w:val="0"/>
        </w:rPr>
        <w:t>.</w:t>
      </w:r>
      <w:r>
        <w:rPr>
          <w:snapToGrid w:val="0"/>
        </w:rPr>
        <w:tab/>
        <w:t>Kitchen caravans</w:t>
      </w:r>
      <w:r>
        <w:tab/>
      </w:r>
      <w:r>
        <w:fldChar w:fldCharType="begin"/>
      </w:r>
      <w:r>
        <w:instrText xml:space="preserve"> PAGEREF _Toc167798651 \h </w:instrText>
      </w:r>
      <w:r>
        <w:fldChar w:fldCharType="separate"/>
      </w:r>
      <w:r>
        <w:t>1</w:t>
      </w:r>
      <w:r>
        <w:fldChar w:fldCharType="end"/>
      </w:r>
    </w:p>
    <w:p>
      <w:pPr>
        <w:pStyle w:val="TOC8"/>
        <w:rPr>
          <w:rFonts w:asciiTheme="minorHAnsi" w:eastAsiaTheme="minorEastAsia" w:hAnsiTheme="minorHAnsi" w:cstheme="minorBidi"/>
          <w:szCs w:val="22"/>
        </w:rPr>
      </w:pPr>
      <w:r>
        <w:t>37</w:t>
      </w:r>
      <w:r>
        <w:rPr>
          <w:snapToGrid w:val="0"/>
        </w:rPr>
        <w:t>.</w:t>
      </w:r>
      <w:r>
        <w:rPr>
          <w:snapToGrid w:val="0"/>
        </w:rPr>
        <w:tab/>
        <w:t>Office caravan</w:t>
      </w:r>
      <w:r>
        <w:tab/>
      </w:r>
      <w:r>
        <w:fldChar w:fldCharType="begin"/>
      </w:r>
      <w:r>
        <w:instrText xml:space="preserve"> PAGEREF _Toc167798652 \h </w:instrText>
      </w:r>
      <w:r>
        <w:fldChar w:fldCharType="separate"/>
      </w:r>
      <w:r>
        <w:t>1</w:t>
      </w:r>
      <w:r>
        <w:fldChar w:fldCharType="end"/>
      </w:r>
    </w:p>
    <w:p>
      <w:pPr>
        <w:pStyle w:val="TOC8"/>
        <w:rPr>
          <w:rFonts w:asciiTheme="minorHAnsi" w:eastAsiaTheme="minorEastAsia" w:hAnsiTheme="minorHAnsi" w:cstheme="minorBidi"/>
          <w:szCs w:val="22"/>
        </w:rPr>
      </w:pPr>
      <w:r>
        <w:t>38</w:t>
      </w:r>
      <w:r>
        <w:rPr>
          <w:snapToGrid w:val="0"/>
        </w:rPr>
        <w:t>.</w:t>
      </w:r>
      <w:r>
        <w:rPr>
          <w:snapToGrid w:val="0"/>
        </w:rPr>
        <w:tab/>
        <w:t>Ablutionary and sanitary caravans</w:t>
      </w:r>
      <w:r>
        <w:tab/>
      </w:r>
      <w:r>
        <w:fldChar w:fldCharType="begin"/>
      </w:r>
      <w:r>
        <w:instrText xml:space="preserve"> PAGEREF _Toc167798653 \h </w:instrText>
      </w:r>
      <w:r>
        <w:fldChar w:fldCharType="separate"/>
      </w:r>
      <w:r>
        <w:t>1</w:t>
      </w:r>
      <w:r>
        <w:fldChar w:fldCharType="end"/>
      </w:r>
    </w:p>
    <w:p>
      <w:pPr>
        <w:pStyle w:val="TOC8"/>
        <w:rPr>
          <w:rFonts w:asciiTheme="minorHAnsi" w:eastAsiaTheme="minorEastAsia" w:hAnsiTheme="minorHAnsi" w:cstheme="minorBidi"/>
          <w:szCs w:val="22"/>
        </w:rPr>
      </w:pPr>
      <w:r>
        <w:t>39</w:t>
      </w:r>
      <w:r>
        <w:rPr>
          <w:snapToGrid w:val="0"/>
        </w:rPr>
        <w:t>.</w:t>
      </w:r>
      <w:r>
        <w:rPr>
          <w:snapToGrid w:val="0"/>
        </w:rPr>
        <w:tab/>
        <w:t>Materials used in caravan construction</w:t>
      </w:r>
      <w:r>
        <w:tab/>
      </w:r>
      <w:r>
        <w:fldChar w:fldCharType="begin"/>
      </w:r>
      <w:r>
        <w:instrText xml:space="preserve"> PAGEREF _Toc167798654 \h </w:instrText>
      </w:r>
      <w:r>
        <w:fldChar w:fldCharType="separate"/>
      </w:r>
      <w:r>
        <w:t>1</w:t>
      </w:r>
      <w:r>
        <w:fldChar w:fldCharType="end"/>
      </w:r>
    </w:p>
    <w:p>
      <w:pPr>
        <w:pStyle w:val="TOC8"/>
        <w:rPr>
          <w:rFonts w:asciiTheme="minorHAnsi" w:eastAsiaTheme="minorEastAsia" w:hAnsiTheme="minorHAnsi" w:cstheme="minorBidi"/>
          <w:szCs w:val="22"/>
        </w:rPr>
      </w:pPr>
      <w:r>
        <w:t>40</w:t>
      </w:r>
      <w:r>
        <w:rPr>
          <w:snapToGrid w:val="0"/>
        </w:rPr>
        <w:t>.</w:t>
      </w:r>
      <w:r>
        <w:rPr>
          <w:snapToGrid w:val="0"/>
        </w:rPr>
        <w:tab/>
        <w:t>Internal linings</w:t>
      </w:r>
      <w:r>
        <w:tab/>
      </w:r>
      <w:r>
        <w:fldChar w:fldCharType="begin"/>
      </w:r>
      <w:r>
        <w:instrText xml:space="preserve"> PAGEREF _Toc167798655 \h </w:instrText>
      </w:r>
      <w:r>
        <w:fldChar w:fldCharType="separate"/>
      </w:r>
      <w:r>
        <w:t>1</w:t>
      </w:r>
      <w:r>
        <w:fldChar w:fldCharType="end"/>
      </w:r>
    </w:p>
    <w:p>
      <w:pPr>
        <w:pStyle w:val="TOC8"/>
        <w:rPr>
          <w:rFonts w:asciiTheme="minorHAnsi" w:eastAsiaTheme="minorEastAsia" w:hAnsiTheme="minorHAnsi" w:cstheme="minorBidi"/>
          <w:szCs w:val="22"/>
        </w:rPr>
      </w:pPr>
      <w:r>
        <w:t>41</w:t>
      </w:r>
      <w:r>
        <w:rPr>
          <w:snapToGrid w:val="0"/>
        </w:rPr>
        <w:t>.</w:t>
      </w:r>
      <w:r>
        <w:rPr>
          <w:snapToGrid w:val="0"/>
        </w:rPr>
        <w:tab/>
        <w:t>Design and construction</w:t>
      </w:r>
      <w:r>
        <w:tab/>
      </w:r>
      <w:r>
        <w:fldChar w:fldCharType="begin"/>
      </w:r>
      <w:r>
        <w:instrText xml:space="preserve"> PAGEREF _Toc167798656 \h </w:instrText>
      </w:r>
      <w:r>
        <w:fldChar w:fldCharType="separate"/>
      </w:r>
      <w:r>
        <w:t>1</w:t>
      </w:r>
      <w:r>
        <w:fldChar w:fldCharType="end"/>
      </w:r>
    </w:p>
    <w:p>
      <w:pPr>
        <w:pStyle w:val="TOC8"/>
        <w:rPr>
          <w:rFonts w:asciiTheme="minorHAnsi" w:eastAsiaTheme="minorEastAsia" w:hAnsiTheme="minorHAnsi" w:cstheme="minorBidi"/>
          <w:szCs w:val="22"/>
        </w:rPr>
      </w:pPr>
      <w:r>
        <w:t>42</w:t>
      </w:r>
      <w:r>
        <w:rPr>
          <w:snapToGrid w:val="0"/>
        </w:rPr>
        <w:t>.</w:t>
      </w:r>
      <w:r>
        <w:rPr>
          <w:snapToGrid w:val="0"/>
        </w:rPr>
        <w:tab/>
        <w:t>Artificial light</w:t>
      </w:r>
      <w:r>
        <w:tab/>
      </w:r>
      <w:r>
        <w:fldChar w:fldCharType="begin"/>
      </w:r>
      <w:r>
        <w:instrText xml:space="preserve"> PAGEREF _Toc167798657 \h </w:instrText>
      </w:r>
      <w:r>
        <w:fldChar w:fldCharType="separate"/>
      </w:r>
      <w:r>
        <w:t>1</w:t>
      </w:r>
      <w:r>
        <w:fldChar w:fldCharType="end"/>
      </w:r>
    </w:p>
    <w:p>
      <w:pPr>
        <w:pStyle w:val="TOC8"/>
        <w:rPr>
          <w:rFonts w:asciiTheme="minorHAnsi" w:eastAsiaTheme="minorEastAsia" w:hAnsiTheme="minorHAnsi" w:cstheme="minorBidi"/>
          <w:szCs w:val="22"/>
        </w:rPr>
      </w:pPr>
      <w:r>
        <w:t>43</w:t>
      </w:r>
      <w:r>
        <w:rPr>
          <w:snapToGrid w:val="0"/>
        </w:rPr>
        <w:t>.</w:t>
      </w:r>
      <w:r>
        <w:rPr>
          <w:snapToGrid w:val="0"/>
        </w:rPr>
        <w:tab/>
        <w:t>Residential caravans</w:t>
      </w:r>
      <w:r>
        <w:tab/>
      </w:r>
      <w:r>
        <w:fldChar w:fldCharType="begin"/>
      </w:r>
      <w:r>
        <w:instrText xml:space="preserve"> PAGEREF _Toc167798658 \h </w:instrText>
      </w:r>
      <w:r>
        <w:fldChar w:fldCharType="separate"/>
      </w:r>
      <w:r>
        <w:t>1</w:t>
      </w:r>
      <w:r>
        <w:fldChar w:fldCharType="end"/>
      </w:r>
    </w:p>
    <w:p>
      <w:pPr>
        <w:pStyle w:val="TOC8"/>
        <w:rPr>
          <w:rFonts w:asciiTheme="minorHAnsi" w:eastAsiaTheme="minorEastAsia" w:hAnsiTheme="minorHAnsi" w:cstheme="minorBidi"/>
          <w:szCs w:val="22"/>
        </w:rPr>
      </w:pPr>
      <w:r>
        <w:t>44</w:t>
      </w:r>
      <w:r>
        <w:rPr>
          <w:snapToGrid w:val="0"/>
        </w:rPr>
        <w:t>.</w:t>
      </w:r>
      <w:r>
        <w:rPr>
          <w:snapToGrid w:val="0"/>
        </w:rPr>
        <w:tab/>
        <w:t>Internal equipment</w:t>
      </w:r>
      <w:r>
        <w:tab/>
      </w:r>
      <w:r>
        <w:fldChar w:fldCharType="begin"/>
      </w:r>
      <w:r>
        <w:instrText xml:space="preserve"> PAGEREF _Toc167798659 \h </w:instrText>
      </w:r>
      <w:r>
        <w:fldChar w:fldCharType="separate"/>
      </w:r>
      <w:r>
        <w:t>1</w:t>
      </w:r>
      <w:r>
        <w:fldChar w:fldCharType="end"/>
      </w:r>
    </w:p>
    <w:p>
      <w:pPr>
        <w:pStyle w:val="TOC8"/>
        <w:rPr>
          <w:rFonts w:asciiTheme="minorHAnsi" w:eastAsiaTheme="minorEastAsia" w:hAnsiTheme="minorHAnsi" w:cstheme="minorBidi"/>
          <w:szCs w:val="22"/>
        </w:rPr>
      </w:pPr>
      <w:r>
        <w:t>45</w:t>
      </w:r>
      <w:r>
        <w:rPr>
          <w:snapToGrid w:val="0"/>
        </w:rPr>
        <w:t>.</w:t>
      </w:r>
      <w:r>
        <w:rPr>
          <w:snapToGrid w:val="0"/>
        </w:rPr>
        <w:tab/>
        <w:t>Fixed ventilation</w:t>
      </w:r>
      <w:r>
        <w:tab/>
      </w:r>
      <w:r>
        <w:fldChar w:fldCharType="begin"/>
      </w:r>
      <w:r>
        <w:instrText xml:space="preserve"> PAGEREF _Toc167798660 \h </w:instrText>
      </w:r>
      <w:r>
        <w:fldChar w:fldCharType="separate"/>
      </w:r>
      <w:r>
        <w:t>1</w:t>
      </w:r>
      <w:r>
        <w:fldChar w:fldCharType="end"/>
      </w:r>
    </w:p>
    <w:p>
      <w:pPr>
        <w:pStyle w:val="TOC8"/>
        <w:rPr>
          <w:rFonts w:asciiTheme="minorHAnsi" w:eastAsiaTheme="minorEastAsia" w:hAnsiTheme="minorHAnsi" w:cstheme="minorBidi"/>
          <w:szCs w:val="22"/>
        </w:rPr>
      </w:pPr>
      <w:r>
        <w:t>46</w:t>
      </w:r>
      <w:r>
        <w:rPr>
          <w:snapToGrid w:val="0"/>
        </w:rPr>
        <w:t>.</w:t>
      </w:r>
      <w:r>
        <w:rPr>
          <w:snapToGrid w:val="0"/>
        </w:rPr>
        <w:tab/>
        <w:t>Adjustable ventilation</w:t>
      </w:r>
      <w:r>
        <w:tab/>
      </w:r>
      <w:r>
        <w:fldChar w:fldCharType="begin"/>
      </w:r>
      <w:r>
        <w:instrText xml:space="preserve"> PAGEREF _Toc167798661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Part IV — Offences and penalties</w:t>
      </w:r>
    </w:p>
    <w:p>
      <w:pPr>
        <w:pStyle w:val="TOC8"/>
        <w:rPr>
          <w:rFonts w:asciiTheme="minorHAnsi" w:eastAsiaTheme="minorEastAsia" w:hAnsiTheme="minorHAnsi" w:cstheme="minorBidi"/>
          <w:szCs w:val="22"/>
        </w:rPr>
      </w:pPr>
      <w:r>
        <w:t>47</w:t>
      </w:r>
      <w:r>
        <w:rPr>
          <w:snapToGrid w:val="0"/>
        </w:rPr>
        <w:t>.</w:t>
      </w:r>
      <w:r>
        <w:rPr>
          <w:snapToGrid w:val="0"/>
        </w:rPr>
        <w:tab/>
        <w:t>Offences and penalties</w:t>
      </w:r>
      <w:r>
        <w:tab/>
      </w:r>
      <w:r>
        <w:fldChar w:fldCharType="begin"/>
      </w:r>
      <w:r>
        <w:instrText xml:space="preserve"> PAGEREF _Toc167798663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Notes</w:t>
      </w:r>
    </w:p>
    <w:p>
      <w:pPr>
        <w:pStyle w:val="TOC8"/>
        <w:rPr>
          <w:rFonts w:asciiTheme="minorHAnsi" w:eastAsiaTheme="minorEastAsia" w:hAnsiTheme="minorHAnsi" w:cstheme="minorBidi"/>
          <w:szCs w:val="22"/>
        </w:rPr>
      </w:pPr>
      <w:r>
        <w:tab/>
        <w:t>Compilation table</w:t>
      </w:r>
      <w:r>
        <w:tab/>
      </w:r>
      <w:r>
        <w:fldChar w:fldCharType="begin"/>
      </w:r>
      <w:r>
        <w:instrText xml:space="preserve"> PAGEREF _Toc167798665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Defined terms</w:t>
      </w:r>
    </w:p>
    <w:p>
      <w:pPr>
        <w:pStyle w:val="NoteHeading"/>
      </w:pPr>
      <w:r>
        <w:fldChar w:fldCharType="end"/>
      </w:r>
      <w:r>
        <w:rPr>
          <w:rStyle w:val="CharPartNo"/>
        </w:rPr>
        <w:t xml:space="preserve"> </w:t>
      </w:r>
      <w:r>
        <w:rPr>
          <w:rStyle w:val="CharPartText"/>
        </w:rPr>
        <w:t xml:space="preserve"> </w:t>
      </w:r>
      <w:r>
        <w:rPr>
          <w:rStyle w:val="CharDivNo"/>
        </w:rPr>
        <w:t xml:space="preserve"> </w:t>
      </w:r>
      <w:r>
        <w:rPr>
          <w:rStyle w:val="CharDivText"/>
        </w:rPr>
        <w:t xml:space="preserve"> </w:t>
      </w:r>
      <w:r>
        <w:rPr>
          <w:rStyle w:val="CharSchNo"/>
        </w:rPr>
        <w:t xml:space="preserve"> </w:t>
      </w:r>
      <w:r>
        <w:rPr>
          <w:rStyle w:val="CharSchText"/>
        </w:rPr>
        <w:t xml:space="preserve"> </w:t>
      </w:r>
      <w:r>
        <w:rPr>
          <w:rStyle w:val="CharSDivNo"/>
        </w:rPr>
        <w:t xml:space="preserve"> </w:t>
      </w:r>
      <w:r>
        <w:rPr>
          <w:rStyle w:val="CharSDivText"/>
        </w:rPr>
        <w:t xml:space="preserve"> </w:t>
      </w:r>
      <w:r>
        <w:t xml:space="preserve"> </w:t>
      </w:r>
    </w:p>
    <w:p>
      <w:pPr>
        <w:pStyle w:val="NoteHeading"/>
        <w:sectPr>
          <w:headerReference w:type="even" r:id="rId14"/>
          <w:headerReference w:type="default" r:id="rId15"/>
          <w:footerReference w:type="even" r:id="rId16"/>
          <w:footerReference w:type="default" r:id="rId17"/>
          <w:headerReference w:type="first" r:id="rId18"/>
          <w:footerReference w:type="first" r:id="rId19"/>
          <w:type w:val="oddPage"/>
          <w:pgSz w:w="11907" w:h="16840" w:code="9"/>
          <w:pgMar w:top="2381" w:right="2410" w:bottom="3544" w:left="2410" w:header="720" w:footer="3544" w:gutter="0"/>
          <w:pgNumType w:fmt="lowerRoman" w:start="1"/>
          <w:cols w:space="720"/>
          <w:noEndnote/>
          <w:titlePg/>
        </w:sectPr>
      </w:pPr>
    </w:p>
    <w:p>
      <w:pPr>
        <w:pStyle w:val="PrincipalActReg"/>
        <w:rPr>
          <w:snapToGrid w:val="0"/>
        </w:rPr>
      </w:pPr>
      <w:r>
        <w:rPr>
          <w:snapToGrid w:val="0"/>
        </w:rPr>
        <w:lastRenderedPageBreak/>
        <w:t>Health (Miscellaneous Provisions) Act 1911</w:t>
      </w:r>
    </w:p>
    <w:p>
      <w:pPr>
        <w:pStyle w:val="NameofActReg"/>
      </w:pPr>
      <w:r>
        <w:t>Construction Camp Regulations</w:t>
      </w:r>
    </w:p>
    <w:p>
      <w:pPr>
        <w:pStyle w:val="Heading2"/>
        <w:pageBreakBefore w:val="0"/>
      </w:pPr>
      <w:bookmarkStart w:id="2" w:name="_Toc167785994"/>
      <w:bookmarkStart w:id="3" w:name="_Toc167786267"/>
      <w:bookmarkStart w:id="4" w:name="_Toc167798615"/>
      <w:r>
        <w:rPr>
          <w:rStyle w:val="CharPartNo"/>
        </w:rPr>
        <w:t>Part I</w:t>
      </w:r>
      <w:r>
        <w:t xml:space="preserve"> — </w:t>
      </w:r>
      <w:r>
        <w:rPr>
          <w:rStyle w:val="CharPartText"/>
        </w:rPr>
        <w:t>Preliminary</w:t>
      </w:r>
      <w:bookmarkEnd w:id="2"/>
      <w:bookmarkEnd w:id="3"/>
      <w:bookmarkEnd w:id="4"/>
    </w:p>
    <w:p>
      <w:pPr>
        <w:pStyle w:val="Heading5"/>
        <w:rPr>
          <w:snapToGrid w:val="0"/>
        </w:rPr>
      </w:pPr>
      <w:bookmarkStart w:id="5" w:name="_Toc167798616"/>
      <w:r>
        <w:rPr>
          <w:rStyle w:val="CharSectno"/>
        </w:rPr>
        <w:t>1</w:t>
      </w:r>
      <w:r>
        <w:rPr>
          <w:snapToGrid w:val="0"/>
        </w:rPr>
        <w:t>.</w:t>
      </w:r>
      <w:r>
        <w:rPr>
          <w:snapToGrid w:val="0"/>
        </w:rPr>
        <w:tab/>
        <w:t>Citation</w:t>
      </w:r>
      <w:bookmarkEnd w:id="5"/>
      <w:r>
        <w:rPr>
          <w:snapToGrid w:val="0"/>
        </w:rPr>
        <w:t xml:space="preserve"> </w:t>
      </w:r>
    </w:p>
    <w:p>
      <w:pPr>
        <w:pStyle w:val="Subsection"/>
        <w:rPr>
          <w:snapToGrid w:val="0"/>
        </w:rPr>
      </w:pPr>
      <w:r>
        <w:rPr>
          <w:snapToGrid w:val="0"/>
        </w:rPr>
        <w:tab/>
      </w:r>
      <w:r>
        <w:rPr>
          <w:snapToGrid w:val="0"/>
        </w:rPr>
        <w:tab/>
        <w:t xml:space="preserve">These regulations may be cited as the </w:t>
      </w:r>
      <w:r>
        <w:rPr>
          <w:i/>
          <w:snapToGrid w:val="0"/>
        </w:rPr>
        <w:t>Construction Camp Regulations</w:t>
      </w:r>
      <w:r>
        <w:rPr>
          <w:snapToGrid w:val="0"/>
        </w:rPr>
        <w:t>.</w:t>
      </w:r>
    </w:p>
    <w:p>
      <w:pPr>
        <w:pStyle w:val="Ednotesection"/>
      </w:pPr>
      <w:r>
        <w:t>[</w:t>
      </w:r>
      <w:r>
        <w:rPr>
          <w:b/>
        </w:rPr>
        <w:t>2.</w:t>
      </w:r>
      <w:r>
        <w:tab/>
      </w:r>
      <w:r>
        <w:tab/>
        <w:t xml:space="preserve">Omitted under the Reprints Act 1984 s. 7(4)(d).] </w:t>
      </w:r>
    </w:p>
    <w:p>
      <w:pPr>
        <w:pStyle w:val="Ednotesection"/>
      </w:pPr>
      <w:r>
        <w:t>[</w:t>
      </w:r>
      <w:r>
        <w:rPr>
          <w:b/>
        </w:rPr>
        <w:t>3.</w:t>
      </w:r>
      <w:r>
        <w:tab/>
      </w:r>
      <w:r>
        <w:tab/>
        <w:t xml:space="preserve">Omitted under the Reprints Act 1984 s. 7(4)(c).] </w:t>
      </w:r>
    </w:p>
    <w:p>
      <w:pPr>
        <w:pStyle w:val="Heading5"/>
        <w:rPr>
          <w:snapToGrid w:val="0"/>
        </w:rPr>
      </w:pPr>
      <w:bookmarkStart w:id="6" w:name="_Toc167798617"/>
      <w:r>
        <w:rPr>
          <w:rStyle w:val="CharSectno"/>
        </w:rPr>
        <w:t>4</w:t>
      </w:r>
      <w:r>
        <w:rPr>
          <w:snapToGrid w:val="0"/>
        </w:rPr>
        <w:t>.</w:t>
      </w:r>
      <w:r>
        <w:rPr>
          <w:snapToGrid w:val="0"/>
        </w:rPr>
        <w:tab/>
        <w:t>Onus</w:t>
      </w:r>
      <w:bookmarkEnd w:id="6"/>
      <w:r>
        <w:rPr>
          <w:snapToGrid w:val="0"/>
        </w:rPr>
        <w:t xml:space="preserve"> </w:t>
      </w:r>
    </w:p>
    <w:p>
      <w:pPr>
        <w:pStyle w:val="Subsection"/>
        <w:rPr>
          <w:snapToGrid w:val="0"/>
        </w:rPr>
      </w:pPr>
      <w:r>
        <w:rPr>
          <w:snapToGrid w:val="0"/>
        </w:rPr>
        <w:tab/>
      </w:r>
      <w:r>
        <w:rPr>
          <w:snapToGrid w:val="0"/>
        </w:rPr>
        <w:tab/>
        <w:t>The onus of complying with these regulations shall unless otherwise provided rest with the occupier of the construction camp.</w:t>
      </w:r>
    </w:p>
    <w:p>
      <w:pPr>
        <w:pStyle w:val="Heading2"/>
      </w:pPr>
      <w:bookmarkStart w:id="7" w:name="_Toc167785997"/>
      <w:bookmarkStart w:id="8" w:name="_Toc167786270"/>
      <w:bookmarkStart w:id="9" w:name="_Toc167798618"/>
      <w:r>
        <w:rPr>
          <w:rStyle w:val="CharPartNo"/>
        </w:rPr>
        <w:lastRenderedPageBreak/>
        <w:t>Part II</w:t>
      </w:r>
      <w:r>
        <w:rPr>
          <w:rStyle w:val="CharDivNo"/>
        </w:rPr>
        <w:t> </w:t>
      </w:r>
      <w:r>
        <w:t>—</w:t>
      </w:r>
      <w:r>
        <w:rPr>
          <w:rStyle w:val="CharDivText"/>
        </w:rPr>
        <w:t> </w:t>
      </w:r>
      <w:r>
        <w:rPr>
          <w:rStyle w:val="CharPartText"/>
        </w:rPr>
        <w:t>General regulations for construction camps</w:t>
      </w:r>
      <w:bookmarkEnd w:id="7"/>
      <w:bookmarkEnd w:id="8"/>
      <w:bookmarkEnd w:id="9"/>
      <w:r>
        <w:rPr>
          <w:rStyle w:val="CharPartText"/>
        </w:rPr>
        <w:t xml:space="preserve"> </w:t>
      </w:r>
    </w:p>
    <w:p>
      <w:pPr>
        <w:pStyle w:val="Heading5"/>
        <w:rPr>
          <w:snapToGrid w:val="0"/>
        </w:rPr>
      </w:pPr>
      <w:bookmarkStart w:id="10" w:name="_Toc167798619"/>
      <w:r>
        <w:rPr>
          <w:rStyle w:val="CharSectno"/>
        </w:rPr>
        <w:t>5</w:t>
      </w:r>
      <w:r>
        <w:rPr>
          <w:snapToGrid w:val="0"/>
        </w:rPr>
        <w:t>.</w:t>
      </w:r>
      <w:r>
        <w:rPr>
          <w:snapToGrid w:val="0"/>
        </w:rPr>
        <w:tab/>
        <w:t>Definitions</w:t>
      </w:r>
      <w:bookmarkEnd w:id="10"/>
      <w:r>
        <w:rPr>
          <w:snapToGrid w:val="0"/>
        </w:rPr>
        <w:t xml:space="preserve"> </w:t>
      </w:r>
    </w:p>
    <w:p>
      <w:pPr>
        <w:pStyle w:val="Subsection"/>
        <w:rPr>
          <w:snapToGrid w:val="0"/>
        </w:rPr>
      </w:pPr>
      <w:r>
        <w:rPr>
          <w:snapToGrid w:val="0"/>
        </w:rPr>
        <w:tab/>
      </w:r>
      <w:r>
        <w:rPr>
          <w:snapToGrid w:val="0"/>
        </w:rPr>
        <w:tab/>
        <w:t>In these regulations, unless the context otherwise requires — </w:t>
      </w:r>
    </w:p>
    <w:p>
      <w:pPr>
        <w:pStyle w:val="Defstart"/>
      </w:pPr>
      <w:r>
        <w:rPr>
          <w:b/>
        </w:rPr>
        <w:tab/>
      </w:r>
      <w:r>
        <w:rPr>
          <w:rStyle w:val="CharDefText"/>
        </w:rPr>
        <w:t>artificial light</w:t>
      </w:r>
      <w:r>
        <w:t xml:space="preserve"> means light sufficient to illuminate the entire room at 54 lumens per square metre of general illumination, measured on a horizontal plane 915 millimetres above the floor;</w:t>
      </w:r>
    </w:p>
    <w:p>
      <w:pPr>
        <w:pStyle w:val="Defstart"/>
      </w:pPr>
      <w:r>
        <w:rPr>
          <w:b/>
        </w:rPr>
        <w:tab/>
      </w:r>
      <w:r>
        <w:rPr>
          <w:rStyle w:val="CharDefText"/>
        </w:rPr>
        <w:t>construction camp</w:t>
      </w:r>
      <w:r>
        <w:t xml:space="preserve"> means any camp used for a duration of more than 6 months though not necessarily in the one location, for the accommodation of a work force of more than 25 persons in conjunction with — </w:t>
      </w:r>
    </w:p>
    <w:p>
      <w:pPr>
        <w:pStyle w:val="Defpara"/>
      </w:pPr>
      <w:r>
        <w:tab/>
        <w:t>(a)</w:t>
      </w:r>
      <w:r>
        <w:tab/>
        <w:t>the construction of a railway line or siding;</w:t>
      </w:r>
    </w:p>
    <w:p>
      <w:pPr>
        <w:pStyle w:val="Defpara"/>
      </w:pPr>
      <w:r>
        <w:tab/>
        <w:t>(b)</w:t>
      </w:r>
      <w:r>
        <w:tab/>
        <w:t>the construction, structural alteration or demolition of — </w:t>
      </w:r>
    </w:p>
    <w:p>
      <w:pPr>
        <w:pStyle w:val="Defsubpara"/>
      </w:pPr>
      <w:r>
        <w:tab/>
        <w:t>(i)</w:t>
      </w:r>
      <w:r>
        <w:tab/>
        <w:t>a building;</w:t>
      </w:r>
    </w:p>
    <w:p>
      <w:pPr>
        <w:pStyle w:val="Defsubpara"/>
      </w:pPr>
      <w:r>
        <w:tab/>
        <w:t>(ii)</w:t>
      </w:r>
      <w:r>
        <w:tab/>
        <w:t>a dock, wharf, jetty, pier, breakwater, tunnel, dam, viaduct, reservoir, pipeline, gasholder; and</w:t>
      </w:r>
    </w:p>
    <w:p>
      <w:pPr>
        <w:pStyle w:val="Defsubpara"/>
      </w:pPr>
      <w:r>
        <w:tab/>
        <w:t>(iii)</w:t>
      </w:r>
      <w:r>
        <w:tab/>
        <w:t>waterworks or sewerage works;</w:t>
      </w:r>
    </w:p>
    <w:p>
      <w:pPr>
        <w:pStyle w:val="Defpara"/>
      </w:pPr>
      <w:r>
        <w:tab/>
        <w:t>(c)</w:t>
      </w:r>
      <w:r>
        <w:tab/>
        <w:t>the preparation of an area for mining operations; and</w:t>
      </w:r>
    </w:p>
    <w:p>
      <w:pPr>
        <w:pStyle w:val="Defpara"/>
      </w:pPr>
      <w:r>
        <w:tab/>
        <w:t>(d)</w:t>
      </w:r>
      <w:r>
        <w:tab/>
        <w:t>any other work that requires a temporary resident work force,</w:t>
      </w:r>
    </w:p>
    <w:p>
      <w:pPr>
        <w:pStyle w:val="Defstart"/>
      </w:pPr>
      <w:r>
        <w:tab/>
        <w:t>but does not include — </w:t>
      </w:r>
    </w:p>
    <w:p>
      <w:pPr>
        <w:pStyle w:val="Defpara"/>
      </w:pPr>
      <w:r>
        <w:tab/>
        <w:t>(e)</w:t>
      </w:r>
      <w:r>
        <w:tab/>
        <w:t>camps used for defence purposes; and</w:t>
      </w:r>
    </w:p>
    <w:p>
      <w:pPr>
        <w:pStyle w:val="Defpara"/>
      </w:pPr>
      <w:r>
        <w:tab/>
        <w:t>(f)</w:t>
      </w:r>
      <w:r>
        <w:tab/>
        <w:t>wayside camps of drovers or teamsters;</w:t>
      </w:r>
    </w:p>
    <w:p>
      <w:pPr>
        <w:pStyle w:val="Defstart"/>
      </w:pPr>
      <w:r>
        <w:rPr>
          <w:b/>
        </w:rPr>
        <w:tab/>
      </w:r>
      <w:r>
        <w:rPr>
          <w:rStyle w:val="CharDefText"/>
        </w:rPr>
        <w:t>dining room</w:t>
      </w:r>
      <w:r>
        <w:t xml:space="preserve"> means a dining room in any construction camp to which this Part applies;</w:t>
      </w:r>
    </w:p>
    <w:p>
      <w:pPr>
        <w:pStyle w:val="Defstart"/>
      </w:pPr>
      <w:r>
        <w:rPr>
          <w:b/>
        </w:rPr>
        <w:tab/>
      </w:r>
      <w:r>
        <w:rPr>
          <w:rStyle w:val="CharDefText"/>
        </w:rPr>
        <w:t>effective air conditioning</w:t>
      </w:r>
      <w:r>
        <w:t xml:space="preserve"> means the distribution of filtered air into an enclosed space at controlled temperatures and humidity and </w:t>
      </w:r>
      <w:r>
        <w:rPr>
          <w:rStyle w:val="CharDefText"/>
        </w:rPr>
        <w:t>effectively air conditioned</w:t>
      </w:r>
      <w:r>
        <w:t xml:space="preserve"> has a corresponding meaning;</w:t>
      </w:r>
    </w:p>
    <w:p>
      <w:pPr>
        <w:pStyle w:val="Defstart"/>
        <w:spacing w:before="100"/>
      </w:pPr>
      <w:r>
        <w:rPr>
          <w:b/>
        </w:rPr>
        <w:tab/>
      </w:r>
      <w:r>
        <w:rPr>
          <w:rStyle w:val="CharDefText"/>
        </w:rPr>
        <w:t>kitchen</w:t>
      </w:r>
      <w:r>
        <w:t xml:space="preserve"> means a kitchen in any construction camp to which this Part applies;</w:t>
      </w:r>
    </w:p>
    <w:p>
      <w:pPr>
        <w:pStyle w:val="Defstart"/>
        <w:spacing w:before="100"/>
      </w:pPr>
      <w:r>
        <w:rPr>
          <w:b/>
        </w:rPr>
        <w:lastRenderedPageBreak/>
        <w:tab/>
      </w:r>
      <w:r>
        <w:rPr>
          <w:rStyle w:val="CharDefText"/>
        </w:rPr>
        <w:t>occupier</w:t>
      </w:r>
      <w:r>
        <w:t xml:space="preserve"> means a person having the charge, management or control of premises, and where 2 or more persons share or jointly have the charge, management or control of premises, each of those persons;</w:t>
      </w:r>
    </w:p>
    <w:p>
      <w:pPr>
        <w:pStyle w:val="Defstart"/>
        <w:spacing w:before="100"/>
      </w:pPr>
      <w:r>
        <w:rPr>
          <w:b/>
        </w:rPr>
        <w:tab/>
      </w:r>
      <w:r>
        <w:rPr>
          <w:rStyle w:val="CharDefText"/>
        </w:rPr>
        <w:t>sleeping quarters</w:t>
      </w:r>
      <w:r>
        <w:t xml:space="preserve"> means sleeping quarters in any construction camp to which this Part applies.</w:t>
      </w:r>
    </w:p>
    <w:p>
      <w:pPr>
        <w:pStyle w:val="Footnotesection"/>
        <w:spacing w:before="140"/>
        <w:ind w:left="890" w:hanging="890"/>
      </w:pPr>
      <w:r>
        <w:tab/>
        <w:t xml:space="preserve">[Regulation 5 amended: Gazette 18 Nov 1970 p. 3586; 3 May 1974 p. 1428.] </w:t>
      </w:r>
    </w:p>
    <w:p>
      <w:pPr>
        <w:pStyle w:val="Heading5"/>
        <w:spacing w:before="260"/>
        <w:rPr>
          <w:snapToGrid w:val="0"/>
        </w:rPr>
      </w:pPr>
      <w:bookmarkStart w:id="11" w:name="_Toc167798620"/>
      <w:r>
        <w:rPr>
          <w:rStyle w:val="CharSectno"/>
        </w:rPr>
        <w:t>6</w:t>
      </w:r>
      <w:r>
        <w:rPr>
          <w:snapToGrid w:val="0"/>
        </w:rPr>
        <w:t>.</w:t>
      </w:r>
      <w:r>
        <w:rPr>
          <w:snapToGrid w:val="0"/>
        </w:rPr>
        <w:tab/>
        <w:t>Application</w:t>
      </w:r>
      <w:bookmarkEnd w:id="11"/>
      <w:r>
        <w:rPr>
          <w:snapToGrid w:val="0"/>
        </w:rPr>
        <w:t xml:space="preserve"> </w:t>
      </w:r>
    </w:p>
    <w:p>
      <w:pPr>
        <w:pStyle w:val="Subsection"/>
        <w:spacing w:before="180"/>
        <w:rPr>
          <w:snapToGrid w:val="0"/>
        </w:rPr>
      </w:pPr>
      <w:r>
        <w:rPr>
          <w:snapToGrid w:val="0"/>
        </w:rPr>
        <w:tab/>
      </w:r>
      <w:r>
        <w:rPr>
          <w:snapToGrid w:val="0"/>
        </w:rPr>
        <w:tab/>
        <w:t>This Part does not apply to caravans in construction camps.</w:t>
      </w:r>
    </w:p>
    <w:p>
      <w:pPr>
        <w:pStyle w:val="Heading5"/>
        <w:spacing w:before="260"/>
        <w:rPr>
          <w:snapToGrid w:val="0"/>
        </w:rPr>
      </w:pPr>
      <w:bookmarkStart w:id="12" w:name="_Toc167798621"/>
      <w:r>
        <w:rPr>
          <w:rStyle w:val="CharSectno"/>
        </w:rPr>
        <w:t>7</w:t>
      </w:r>
      <w:r>
        <w:rPr>
          <w:snapToGrid w:val="0"/>
        </w:rPr>
        <w:t>.</w:t>
      </w:r>
      <w:r>
        <w:rPr>
          <w:snapToGrid w:val="0"/>
        </w:rPr>
        <w:tab/>
        <w:t>Doors and light in sleeping quarters</w:t>
      </w:r>
      <w:bookmarkEnd w:id="12"/>
      <w:r>
        <w:rPr>
          <w:snapToGrid w:val="0"/>
        </w:rPr>
        <w:t xml:space="preserve"> </w:t>
      </w:r>
    </w:p>
    <w:p>
      <w:pPr>
        <w:pStyle w:val="Subsection"/>
        <w:spacing w:before="180"/>
        <w:rPr>
          <w:snapToGrid w:val="0"/>
        </w:rPr>
      </w:pPr>
      <w:r>
        <w:rPr>
          <w:snapToGrid w:val="0"/>
        </w:rPr>
        <w:tab/>
      </w:r>
      <w:r>
        <w:rPr>
          <w:snapToGrid w:val="0"/>
        </w:rPr>
        <w:tab/>
        <w:t>Every sleeping quarters shall — </w:t>
      </w:r>
    </w:p>
    <w:p>
      <w:pPr>
        <w:pStyle w:val="Indenta"/>
        <w:spacing w:before="100"/>
        <w:rPr>
          <w:snapToGrid w:val="0"/>
        </w:rPr>
      </w:pPr>
      <w:r>
        <w:rPr>
          <w:snapToGrid w:val="0"/>
        </w:rPr>
        <w:tab/>
        <w:t>(a)</w:t>
      </w:r>
      <w:r>
        <w:rPr>
          <w:snapToGrid w:val="0"/>
        </w:rPr>
        <w:tab/>
        <w:t>have at least one door of at least 760 millimetres in width and 1.98 metres in height; and</w:t>
      </w:r>
    </w:p>
    <w:p>
      <w:pPr>
        <w:pStyle w:val="Indenta"/>
        <w:spacing w:before="100"/>
        <w:rPr>
          <w:snapToGrid w:val="0"/>
        </w:rPr>
      </w:pPr>
      <w:r>
        <w:rPr>
          <w:snapToGrid w:val="0"/>
        </w:rPr>
        <w:tab/>
        <w:t>(b)</w:t>
      </w:r>
      <w:r>
        <w:rPr>
          <w:snapToGrid w:val="0"/>
        </w:rPr>
        <w:tab/>
        <w:t>be provided with artificial light.</w:t>
      </w:r>
    </w:p>
    <w:p>
      <w:pPr>
        <w:pStyle w:val="Footnotesection"/>
        <w:spacing w:before="140"/>
        <w:ind w:left="890" w:hanging="890"/>
      </w:pPr>
      <w:r>
        <w:tab/>
        <w:t xml:space="preserve">[Regulation 7 amended: Gazette 3 May 1974 p. 1428.] </w:t>
      </w:r>
    </w:p>
    <w:p>
      <w:pPr>
        <w:pStyle w:val="Heading5"/>
        <w:spacing w:before="260"/>
        <w:rPr>
          <w:snapToGrid w:val="0"/>
        </w:rPr>
      </w:pPr>
      <w:bookmarkStart w:id="13" w:name="_Toc167798622"/>
      <w:r>
        <w:rPr>
          <w:rStyle w:val="CharSectno"/>
        </w:rPr>
        <w:t>8</w:t>
      </w:r>
      <w:r>
        <w:rPr>
          <w:snapToGrid w:val="0"/>
        </w:rPr>
        <w:t>.</w:t>
      </w:r>
      <w:r>
        <w:rPr>
          <w:snapToGrid w:val="0"/>
        </w:rPr>
        <w:tab/>
        <w:t>Air space in sleeping quarters</w:t>
      </w:r>
      <w:bookmarkEnd w:id="13"/>
      <w:r>
        <w:rPr>
          <w:snapToGrid w:val="0"/>
        </w:rPr>
        <w:t xml:space="preserve"> </w:t>
      </w:r>
    </w:p>
    <w:p>
      <w:pPr>
        <w:pStyle w:val="Subsection"/>
        <w:spacing w:before="180"/>
        <w:rPr>
          <w:snapToGrid w:val="0"/>
        </w:rPr>
      </w:pPr>
      <w:r>
        <w:rPr>
          <w:snapToGrid w:val="0"/>
        </w:rPr>
        <w:tab/>
        <w:t>(1)</w:t>
      </w:r>
      <w:r>
        <w:rPr>
          <w:snapToGrid w:val="0"/>
        </w:rPr>
        <w:tab/>
        <w:t>Every sleeping quarters shall contain not less than 11 cubic metres of air space calculated for each person who sleeps in the quarters, except where the sleeping quarters are transportable units which shall contain not less than 9 cubic metres of air space for each such person.</w:t>
      </w:r>
    </w:p>
    <w:p>
      <w:pPr>
        <w:pStyle w:val="Subsection"/>
        <w:spacing w:before="180"/>
        <w:rPr>
          <w:snapToGrid w:val="0"/>
        </w:rPr>
      </w:pPr>
      <w:r>
        <w:rPr>
          <w:snapToGrid w:val="0"/>
        </w:rPr>
        <w:tab/>
        <w:t>(2)</w:t>
      </w:r>
      <w:r>
        <w:rPr>
          <w:snapToGrid w:val="0"/>
        </w:rPr>
        <w:tab/>
        <w:t xml:space="preserve">Where transportable units used as sleeping quarters in any area north of the 26th parallel of latitude or in any other area specified by the Minister by notice published in the </w:t>
      </w:r>
      <w:r>
        <w:rPr>
          <w:i/>
          <w:snapToGrid w:val="0"/>
        </w:rPr>
        <w:t>Gazette</w:t>
      </w:r>
      <w:r>
        <w:rPr>
          <w:snapToGrid w:val="0"/>
        </w:rPr>
        <w:t>, contain less than 11 cubic metres of air space for each person who sleeps in the quarters, effective air conditioning shall be installed in those sleeping quarters.</w:t>
      </w:r>
    </w:p>
    <w:p>
      <w:pPr>
        <w:pStyle w:val="Footnotesection"/>
        <w:spacing w:before="100"/>
        <w:ind w:left="890" w:hanging="890"/>
      </w:pPr>
      <w:r>
        <w:lastRenderedPageBreak/>
        <w:tab/>
        <w:t xml:space="preserve">[Regulation 8 inserted: Gazette 18 Nov 1970 p. 3586; amended: Gazette 3 May 1974 p. 1428.] </w:t>
      </w:r>
    </w:p>
    <w:p>
      <w:pPr>
        <w:pStyle w:val="Heading5"/>
        <w:rPr>
          <w:snapToGrid w:val="0"/>
        </w:rPr>
      </w:pPr>
      <w:bookmarkStart w:id="14" w:name="_Toc167798623"/>
      <w:r>
        <w:rPr>
          <w:rStyle w:val="CharSectno"/>
        </w:rPr>
        <w:t>9</w:t>
      </w:r>
      <w:r>
        <w:rPr>
          <w:snapToGrid w:val="0"/>
        </w:rPr>
        <w:t>.</w:t>
      </w:r>
      <w:r>
        <w:rPr>
          <w:snapToGrid w:val="0"/>
        </w:rPr>
        <w:tab/>
        <w:t>Ventilation of sleeping quarters</w:t>
      </w:r>
      <w:bookmarkEnd w:id="14"/>
      <w:r>
        <w:rPr>
          <w:snapToGrid w:val="0"/>
        </w:rPr>
        <w:t xml:space="preserve"> </w:t>
      </w:r>
    </w:p>
    <w:p>
      <w:pPr>
        <w:pStyle w:val="Subsection"/>
        <w:spacing w:before="140"/>
        <w:rPr>
          <w:snapToGrid w:val="0"/>
        </w:rPr>
      </w:pPr>
      <w:r>
        <w:rPr>
          <w:snapToGrid w:val="0"/>
        </w:rPr>
        <w:tab/>
      </w:r>
      <w:r>
        <w:rPr>
          <w:snapToGrid w:val="0"/>
        </w:rPr>
        <w:tab/>
        <w:t>Every sleeping quarters shall be ventilated — </w:t>
      </w:r>
    </w:p>
    <w:p>
      <w:pPr>
        <w:pStyle w:val="Indenta"/>
        <w:spacing w:before="70"/>
        <w:rPr>
          <w:snapToGrid w:val="0"/>
        </w:rPr>
      </w:pPr>
      <w:r>
        <w:rPr>
          <w:snapToGrid w:val="0"/>
        </w:rPr>
        <w:tab/>
        <w:t>(a)</w:t>
      </w:r>
      <w:r>
        <w:rPr>
          <w:snapToGrid w:val="0"/>
        </w:rPr>
        <w:tab/>
        <w:t>by the provision of a window or windows, which when opened, either singly or in the aggregate, provide an open space — </w:t>
      </w:r>
    </w:p>
    <w:p>
      <w:pPr>
        <w:pStyle w:val="Indenti"/>
        <w:spacing w:before="70"/>
        <w:rPr>
          <w:snapToGrid w:val="0"/>
        </w:rPr>
      </w:pPr>
      <w:r>
        <w:rPr>
          <w:snapToGrid w:val="0"/>
        </w:rPr>
        <w:tab/>
        <w:t>(i)</w:t>
      </w:r>
      <w:r>
        <w:rPr>
          <w:snapToGrid w:val="0"/>
        </w:rPr>
        <w:tab/>
        <w:t>that has a minimum area of 0.5 square metre for every 10 square metres of floor area;</w:t>
      </w:r>
    </w:p>
    <w:p>
      <w:pPr>
        <w:pStyle w:val="Indenti"/>
        <w:spacing w:before="70"/>
        <w:rPr>
          <w:snapToGrid w:val="0"/>
        </w:rPr>
      </w:pPr>
      <w:r>
        <w:rPr>
          <w:snapToGrid w:val="0"/>
        </w:rPr>
        <w:tab/>
        <w:t>(ii)</w:t>
      </w:r>
      <w:r>
        <w:rPr>
          <w:snapToGrid w:val="0"/>
        </w:rPr>
        <w:tab/>
        <w:t>the highest part of which is within 460 millimetres of the ceiling line; and</w:t>
      </w:r>
    </w:p>
    <w:p>
      <w:pPr>
        <w:pStyle w:val="Indenti"/>
        <w:spacing w:before="70"/>
        <w:rPr>
          <w:snapToGrid w:val="0"/>
        </w:rPr>
      </w:pPr>
      <w:r>
        <w:rPr>
          <w:snapToGrid w:val="0"/>
        </w:rPr>
        <w:tab/>
        <w:t>(iii)</w:t>
      </w:r>
      <w:r>
        <w:rPr>
          <w:snapToGrid w:val="0"/>
        </w:rPr>
        <w:tab/>
        <w:t xml:space="preserve">that provides direct uncontrolled ventilation to the external air; </w:t>
      </w:r>
    </w:p>
    <w:p>
      <w:pPr>
        <w:pStyle w:val="Indenta"/>
        <w:spacing w:before="70"/>
        <w:rPr>
          <w:snapToGrid w:val="0"/>
        </w:rPr>
      </w:pPr>
      <w:r>
        <w:rPr>
          <w:snapToGrid w:val="0"/>
        </w:rPr>
        <w:tab/>
      </w:r>
      <w:r>
        <w:rPr>
          <w:snapToGrid w:val="0"/>
        </w:rPr>
        <w:tab/>
        <w:t>or</w:t>
      </w:r>
    </w:p>
    <w:p>
      <w:pPr>
        <w:pStyle w:val="Indenta"/>
        <w:spacing w:before="70"/>
        <w:rPr>
          <w:snapToGrid w:val="0"/>
        </w:rPr>
      </w:pPr>
      <w:r>
        <w:rPr>
          <w:snapToGrid w:val="0"/>
        </w:rPr>
        <w:tab/>
        <w:t>(b)</w:t>
      </w:r>
      <w:r>
        <w:rPr>
          <w:snapToGrid w:val="0"/>
        </w:rPr>
        <w:tab/>
        <w:t>by permanent ventilation consisting of 0.015 square metre of uncontrolled ventilation for each 10 square metres of floor area; or</w:t>
      </w:r>
    </w:p>
    <w:p>
      <w:pPr>
        <w:pStyle w:val="Indenta"/>
        <w:spacing w:before="70"/>
        <w:rPr>
          <w:snapToGrid w:val="0"/>
        </w:rPr>
      </w:pPr>
      <w:r>
        <w:rPr>
          <w:snapToGrid w:val="0"/>
        </w:rPr>
        <w:tab/>
        <w:t>(c)</w:t>
      </w:r>
      <w:r>
        <w:rPr>
          <w:snapToGrid w:val="0"/>
        </w:rPr>
        <w:tab/>
        <w:t>by a system of mechanical ventilation giving not less than 6 changes of air per hour.</w:t>
      </w:r>
    </w:p>
    <w:p>
      <w:pPr>
        <w:pStyle w:val="Footnotesection"/>
        <w:spacing w:before="100"/>
        <w:ind w:left="890" w:hanging="890"/>
      </w:pPr>
      <w:r>
        <w:tab/>
        <w:t xml:space="preserve">[Regulation 9 amended: Gazette 3 May 1974 p. 1428.] </w:t>
      </w:r>
    </w:p>
    <w:p>
      <w:pPr>
        <w:pStyle w:val="Heading5"/>
        <w:spacing w:before="200"/>
        <w:rPr>
          <w:snapToGrid w:val="0"/>
        </w:rPr>
      </w:pPr>
      <w:bookmarkStart w:id="15" w:name="_Toc167798624"/>
      <w:r>
        <w:rPr>
          <w:rStyle w:val="CharSectno"/>
        </w:rPr>
        <w:t>10</w:t>
      </w:r>
      <w:r>
        <w:rPr>
          <w:snapToGrid w:val="0"/>
        </w:rPr>
        <w:t>.</w:t>
      </w:r>
      <w:r>
        <w:rPr>
          <w:snapToGrid w:val="0"/>
        </w:rPr>
        <w:tab/>
        <w:t>Space between beds</w:t>
      </w:r>
      <w:bookmarkEnd w:id="15"/>
      <w:r>
        <w:rPr>
          <w:snapToGrid w:val="0"/>
        </w:rPr>
        <w:t xml:space="preserve"> </w:t>
      </w:r>
    </w:p>
    <w:p>
      <w:pPr>
        <w:pStyle w:val="Subsection"/>
        <w:spacing w:before="140"/>
        <w:rPr>
          <w:snapToGrid w:val="0"/>
        </w:rPr>
      </w:pPr>
      <w:r>
        <w:rPr>
          <w:snapToGrid w:val="0"/>
        </w:rPr>
        <w:tab/>
      </w:r>
      <w:r>
        <w:rPr>
          <w:snapToGrid w:val="0"/>
        </w:rPr>
        <w:tab/>
        <w:t>Every sleeping quarters shall have a space of not less than 810 millimetres between each bed.</w:t>
      </w:r>
    </w:p>
    <w:p>
      <w:pPr>
        <w:pStyle w:val="Footnotesection"/>
        <w:spacing w:before="100"/>
        <w:ind w:left="890" w:hanging="890"/>
      </w:pPr>
      <w:r>
        <w:tab/>
        <w:t xml:space="preserve">[Regulation 10 amended: Gazette 18 Nov 1970 p. 3586; 3 May 1974 p. 1428.] </w:t>
      </w:r>
    </w:p>
    <w:p>
      <w:pPr>
        <w:pStyle w:val="Heading5"/>
        <w:spacing w:before="200"/>
        <w:rPr>
          <w:snapToGrid w:val="0"/>
        </w:rPr>
      </w:pPr>
      <w:bookmarkStart w:id="16" w:name="_Toc167798625"/>
      <w:r>
        <w:rPr>
          <w:rStyle w:val="CharSectno"/>
        </w:rPr>
        <w:t>11</w:t>
      </w:r>
      <w:r>
        <w:rPr>
          <w:snapToGrid w:val="0"/>
        </w:rPr>
        <w:t>.</w:t>
      </w:r>
      <w:r>
        <w:rPr>
          <w:snapToGrid w:val="0"/>
        </w:rPr>
        <w:tab/>
        <w:t>Cooking prohibited in sleeping quarters</w:t>
      </w:r>
      <w:bookmarkEnd w:id="16"/>
      <w:r>
        <w:rPr>
          <w:snapToGrid w:val="0"/>
        </w:rPr>
        <w:t xml:space="preserve"> </w:t>
      </w:r>
    </w:p>
    <w:p>
      <w:pPr>
        <w:pStyle w:val="Subsection"/>
        <w:spacing w:before="140"/>
        <w:rPr>
          <w:snapToGrid w:val="0"/>
        </w:rPr>
      </w:pPr>
      <w:r>
        <w:rPr>
          <w:snapToGrid w:val="0"/>
        </w:rPr>
        <w:tab/>
      </w:r>
      <w:r>
        <w:rPr>
          <w:snapToGrid w:val="0"/>
        </w:rPr>
        <w:tab/>
        <w:t>No person shall be permitted to prepare or partake of a meal in any sleeping quarters, except when a person is confined to those quarters by ill</w:t>
      </w:r>
      <w:r>
        <w:rPr>
          <w:snapToGrid w:val="0"/>
        </w:rPr>
        <w:noBreakHyphen/>
        <w:t>health.</w:t>
      </w:r>
    </w:p>
    <w:p>
      <w:pPr>
        <w:pStyle w:val="Heading5"/>
        <w:rPr>
          <w:snapToGrid w:val="0"/>
        </w:rPr>
      </w:pPr>
      <w:bookmarkStart w:id="17" w:name="_Toc167798626"/>
      <w:r>
        <w:rPr>
          <w:rStyle w:val="CharSectno"/>
        </w:rPr>
        <w:lastRenderedPageBreak/>
        <w:t>12</w:t>
      </w:r>
      <w:r>
        <w:rPr>
          <w:snapToGrid w:val="0"/>
        </w:rPr>
        <w:t>.</w:t>
      </w:r>
      <w:r>
        <w:rPr>
          <w:snapToGrid w:val="0"/>
        </w:rPr>
        <w:tab/>
        <w:t>Ventilation of kitchen</w:t>
      </w:r>
      <w:bookmarkEnd w:id="17"/>
      <w:r>
        <w:rPr>
          <w:snapToGrid w:val="0"/>
        </w:rPr>
        <w:t xml:space="preserve"> </w:t>
      </w:r>
    </w:p>
    <w:p>
      <w:pPr>
        <w:pStyle w:val="Subsection"/>
        <w:rPr>
          <w:snapToGrid w:val="0"/>
        </w:rPr>
      </w:pPr>
      <w:r>
        <w:rPr>
          <w:snapToGrid w:val="0"/>
        </w:rPr>
        <w:tab/>
        <w:t>(1)</w:t>
      </w:r>
      <w:r>
        <w:rPr>
          <w:snapToGrid w:val="0"/>
        </w:rPr>
        <w:tab/>
        <w:t>Every kitchen shall be ventilated by one of the following methods — </w:t>
      </w:r>
    </w:p>
    <w:p>
      <w:pPr>
        <w:pStyle w:val="Indenta"/>
        <w:rPr>
          <w:snapToGrid w:val="0"/>
        </w:rPr>
      </w:pPr>
      <w:r>
        <w:rPr>
          <w:snapToGrid w:val="0"/>
        </w:rPr>
        <w:tab/>
        <w:t>(a)</w:t>
      </w:r>
      <w:r>
        <w:rPr>
          <w:snapToGrid w:val="0"/>
        </w:rPr>
        <w:tab/>
        <w:t>by natural ventilation consisting of — </w:t>
      </w:r>
    </w:p>
    <w:p>
      <w:pPr>
        <w:pStyle w:val="Indenti"/>
        <w:rPr>
          <w:snapToGrid w:val="0"/>
        </w:rPr>
      </w:pPr>
      <w:r>
        <w:rPr>
          <w:snapToGrid w:val="0"/>
        </w:rPr>
        <w:tab/>
        <w:t>(i)</w:t>
      </w:r>
      <w:r>
        <w:rPr>
          <w:snapToGrid w:val="0"/>
        </w:rPr>
        <w:tab/>
        <w:t>one or more windows placed in an external wall, so constructed that portion of the windows equal to at least one</w:t>
      </w:r>
      <w:r>
        <w:rPr>
          <w:snapToGrid w:val="0"/>
        </w:rPr>
        <w:noBreakHyphen/>
        <w:t>twentieth of the floor area of the room can be opened and portion of each such window extends to at least 1.98 metres above the floor level; and</w:t>
      </w:r>
    </w:p>
    <w:p>
      <w:pPr>
        <w:pStyle w:val="Indenti"/>
        <w:rPr>
          <w:snapToGrid w:val="0"/>
        </w:rPr>
      </w:pPr>
      <w:r>
        <w:rPr>
          <w:snapToGrid w:val="0"/>
        </w:rPr>
        <w:tab/>
        <w:t>(ii)</w:t>
      </w:r>
      <w:r>
        <w:rPr>
          <w:snapToGrid w:val="0"/>
        </w:rPr>
        <w:tab/>
        <w:t xml:space="preserve">by registers, vents, cowls or ducts, fixed in or near the ceiling boxed in and having a baffle of 50 millimetres clear above the boxing and extending 75 millimetres beyond it on all sides, so as to provide an effective airway of not less than 4 000 square millimetres for each one square metre of floor area; </w:t>
      </w:r>
    </w:p>
    <w:p>
      <w:pPr>
        <w:pStyle w:val="Indenta"/>
        <w:rPr>
          <w:snapToGrid w:val="0"/>
        </w:rPr>
      </w:pPr>
      <w:r>
        <w:rPr>
          <w:snapToGrid w:val="0"/>
        </w:rPr>
        <w:tab/>
      </w:r>
      <w:r>
        <w:rPr>
          <w:snapToGrid w:val="0"/>
        </w:rPr>
        <w:tab/>
        <w:t>or</w:t>
      </w:r>
    </w:p>
    <w:p>
      <w:pPr>
        <w:pStyle w:val="Indenta"/>
        <w:rPr>
          <w:snapToGrid w:val="0"/>
        </w:rPr>
      </w:pPr>
      <w:r>
        <w:rPr>
          <w:snapToGrid w:val="0"/>
        </w:rPr>
        <w:tab/>
        <w:t>(b)</w:t>
      </w:r>
      <w:r>
        <w:rPr>
          <w:snapToGrid w:val="0"/>
        </w:rPr>
        <w:tab/>
        <w:t>by a system of mechanical ventilation giving not less than 15 complete changes of air per hour.</w:t>
      </w:r>
    </w:p>
    <w:p>
      <w:pPr>
        <w:pStyle w:val="Subsection"/>
        <w:rPr>
          <w:snapToGrid w:val="0"/>
        </w:rPr>
      </w:pPr>
      <w:r>
        <w:rPr>
          <w:snapToGrid w:val="0"/>
        </w:rPr>
        <w:tab/>
        <w:t>(2)</w:t>
      </w:r>
      <w:r>
        <w:rPr>
          <w:snapToGrid w:val="0"/>
        </w:rPr>
        <w:tab/>
        <w:t>For the purposes of subregulation (1)(a)(i), where a kitchen is fitted with a door — </w:t>
      </w:r>
    </w:p>
    <w:p>
      <w:pPr>
        <w:pStyle w:val="Indenta"/>
        <w:rPr>
          <w:snapToGrid w:val="0"/>
        </w:rPr>
      </w:pPr>
      <w:r>
        <w:rPr>
          <w:snapToGrid w:val="0"/>
        </w:rPr>
        <w:tab/>
        <w:t>(a)</w:t>
      </w:r>
      <w:r>
        <w:rPr>
          <w:snapToGrid w:val="0"/>
        </w:rPr>
        <w:tab/>
        <w:t>the upper half of which moves independently of the lower half;</w:t>
      </w:r>
    </w:p>
    <w:p>
      <w:pPr>
        <w:pStyle w:val="Indenta"/>
        <w:rPr>
          <w:snapToGrid w:val="0"/>
        </w:rPr>
      </w:pPr>
      <w:r>
        <w:rPr>
          <w:snapToGrid w:val="0"/>
        </w:rPr>
        <w:tab/>
        <w:t>(b)</w:t>
      </w:r>
      <w:r>
        <w:rPr>
          <w:snapToGrid w:val="0"/>
        </w:rPr>
        <w:tab/>
        <w:t>which is fitted in an external wall; and</w:t>
      </w:r>
    </w:p>
    <w:p>
      <w:pPr>
        <w:pStyle w:val="Indenta"/>
        <w:rPr>
          <w:snapToGrid w:val="0"/>
        </w:rPr>
      </w:pPr>
      <w:r>
        <w:rPr>
          <w:snapToGrid w:val="0"/>
        </w:rPr>
        <w:tab/>
        <w:t>(c)</w:t>
      </w:r>
      <w:r>
        <w:rPr>
          <w:snapToGrid w:val="0"/>
        </w:rPr>
        <w:tab/>
        <w:t>which extends to at least 1.98 metres above floor level,</w:t>
      </w:r>
    </w:p>
    <w:p>
      <w:pPr>
        <w:pStyle w:val="Subsection"/>
        <w:rPr>
          <w:snapToGrid w:val="0"/>
        </w:rPr>
      </w:pPr>
      <w:r>
        <w:rPr>
          <w:snapToGrid w:val="0"/>
        </w:rPr>
        <w:tab/>
      </w:r>
      <w:r>
        <w:rPr>
          <w:snapToGrid w:val="0"/>
        </w:rPr>
        <w:tab/>
        <w:t>the area of the upper half of that door may be regarded as the opening portion of a window.</w:t>
      </w:r>
    </w:p>
    <w:p>
      <w:pPr>
        <w:pStyle w:val="Footnotesection"/>
      </w:pPr>
      <w:r>
        <w:tab/>
        <w:t>[Regulation 12 amended: Gazette 3 May 1974 p. 1428</w:t>
      </w:r>
      <w:r>
        <w:noBreakHyphen/>
        <w:t xml:space="preserve">9; 12 Jul 1974 p. 2597.] </w:t>
      </w:r>
    </w:p>
    <w:p>
      <w:pPr>
        <w:pStyle w:val="Heading5"/>
        <w:rPr>
          <w:snapToGrid w:val="0"/>
        </w:rPr>
      </w:pPr>
      <w:bookmarkStart w:id="18" w:name="_Toc167798627"/>
      <w:r>
        <w:rPr>
          <w:rStyle w:val="CharSectno"/>
        </w:rPr>
        <w:lastRenderedPageBreak/>
        <w:t>13</w:t>
      </w:r>
      <w:r>
        <w:rPr>
          <w:snapToGrid w:val="0"/>
        </w:rPr>
        <w:t>.</w:t>
      </w:r>
      <w:r>
        <w:rPr>
          <w:snapToGrid w:val="0"/>
        </w:rPr>
        <w:tab/>
        <w:t>Kitchen stoves</w:t>
      </w:r>
      <w:bookmarkEnd w:id="18"/>
      <w:r>
        <w:rPr>
          <w:snapToGrid w:val="0"/>
        </w:rPr>
        <w:t xml:space="preserve"> </w:t>
      </w:r>
    </w:p>
    <w:p>
      <w:pPr>
        <w:pStyle w:val="Subsection"/>
        <w:rPr>
          <w:snapToGrid w:val="0"/>
        </w:rPr>
      </w:pPr>
      <w:r>
        <w:rPr>
          <w:snapToGrid w:val="0"/>
        </w:rPr>
        <w:tab/>
      </w:r>
      <w:r>
        <w:rPr>
          <w:snapToGrid w:val="0"/>
        </w:rPr>
        <w:tab/>
        <w:t>Every stove in a kitchen shall have a hood connected to a ventilation shaft sufficient to carry away all steam and cooking odours.</w:t>
      </w:r>
    </w:p>
    <w:p>
      <w:pPr>
        <w:pStyle w:val="Heading5"/>
        <w:rPr>
          <w:snapToGrid w:val="0"/>
        </w:rPr>
      </w:pPr>
      <w:bookmarkStart w:id="19" w:name="_Toc167798628"/>
      <w:r>
        <w:rPr>
          <w:rStyle w:val="CharSectno"/>
        </w:rPr>
        <w:t>14</w:t>
      </w:r>
      <w:r>
        <w:rPr>
          <w:snapToGrid w:val="0"/>
        </w:rPr>
        <w:t>.</w:t>
      </w:r>
      <w:r>
        <w:rPr>
          <w:snapToGrid w:val="0"/>
        </w:rPr>
        <w:tab/>
        <w:t>Kitchen protection against insects</w:t>
      </w:r>
      <w:bookmarkEnd w:id="19"/>
      <w:r>
        <w:rPr>
          <w:snapToGrid w:val="0"/>
        </w:rPr>
        <w:t xml:space="preserve"> </w:t>
      </w:r>
    </w:p>
    <w:p>
      <w:pPr>
        <w:pStyle w:val="Subsection"/>
        <w:rPr>
          <w:snapToGrid w:val="0"/>
        </w:rPr>
      </w:pPr>
      <w:r>
        <w:rPr>
          <w:snapToGrid w:val="0"/>
        </w:rPr>
        <w:tab/>
        <w:t>(1)</w:t>
      </w:r>
      <w:r>
        <w:rPr>
          <w:snapToGrid w:val="0"/>
        </w:rPr>
        <w:tab/>
        <w:t>The windows, doorways and other openings in every kitchen shall be screened with a fine mesh to exclude the ingress of flies and other insects.</w:t>
      </w:r>
    </w:p>
    <w:p>
      <w:pPr>
        <w:pStyle w:val="Subsection"/>
        <w:rPr>
          <w:snapToGrid w:val="0"/>
        </w:rPr>
      </w:pPr>
      <w:r>
        <w:rPr>
          <w:snapToGrid w:val="0"/>
        </w:rPr>
        <w:tab/>
        <w:t>(2)</w:t>
      </w:r>
      <w:r>
        <w:rPr>
          <w:snapToGrid w:val="0"/>
        </w:rPr>
        <w:tab/>
        <w:t>Food in any kitchen not being prepared and not in the refrigerator shall be kept in fly proof cupboards.</w:t>
      </w:r>
    </w:p>
    <w:p>
      <w:pPr>
        <w:pStyle w:val="Heading5"/>
        <w:rPr>
          <w:snapToGrid w:val="0"/>
        </w:rPr>
      </w:pPr>
      <w:bookmarkStart w:id="20" w:name="_Toc167798629"/>
      <w:r>
        <w:rPr>
          <w:rStyle w:val="CharSectno"/>
        </w:rPr>
        <w:t>15</w:t>
      </w:r>
      <w:r>
        <w:rPr>
          <w:snapToGrid w:val="0"/>
        </w:rPr>
        <w:t>.</w:t>
      </w:r>
      <w:r>
        <w:rPr>
          <w:snapToGrid w:val="0"/>
        </w:rPr>
        <w:tab/>
        <w:t>Kitchen floor</w:t>
      </w:r>
      <w:bookmarkEnd w:id="20"/>
      <w:r>
        <w:rPr>
          <w:snapToGrid w:val="0"/>
        </w:rPr>
        <w:t xml:space="preserve"> </w:t>
      </w:r>
    </w:p>
    <w:p>
      <w:pPr>
        <w:pStyle w:val="Subsection"/>
        <w:rPr>
          <w:snapToGrid w:val="0"/>
        </w:rPr>
      </w:pPr>
      <w:r>
        <w:rPr>
          <w:snapToGrid w:val="0"/>
        </w:rPr>
        <w:tab/>
      </w:r>
      <w:r>
        <w:rPr>
          <w:snapToGrid w:val="0"/>
        </w:rPr>
        <w:tab/>
        <w:t>Every kitchen floor shall be of an impervious material.</w:t>
      </w:r>
    </w:p>
    <w:p>
      <w:pPr>
        <w:pStyle w:val="Heading5"/>
        <w:rPr>
          <w:snapToGrid w:val="0"/>
        </w:rPr>
      </w:pPr>
      <w:bookmarkStart w:id="21" w:name="_Toc167798630"/>
      <w:r>
        <w:rPr>
          <w:rStyle w:val="CharSectno"/>
        </w:rPr>
        <w:t>16</w:t>
      </w:r>
      <w:r>
        <w:rPr>
          <w:snapToGrid w:val="0"/>
        </w:rPr>
        <w:t>.</w:t>
      </w:r>
      <w:r>
        <w:rPr>
          <w:snapToGrid w:val="0"/>
        </w:rPr>
        <w:tab/>
        <w:t>Kitchen facilities</w:t>
      </w:r>
      <w:bookmarkEnd w:id="21"/>
      <w:r>
        <w:rPr>
          <w:snapToGrid w:val="0"/>
        </w:rPr>
        <w:t xml:space="preserve"> </w:t>
      </w:r>
    </w:p>
    <w:p>
      <w:pPr>
        <w:pStyle w:val="Subsection"/>
        <w:rPr>
          <w:snapToGrid w:val="0"/>
        </w:rPr>
      </w:pPr>
      <w:r>
        <w:rPr>
          <w:snapToGrid w:val="0"/>
        </w:rPr>
        <w:tab/>
      </w:r>
      <w:r>
        <w:rPr>
          <w:snapToGrid w:val="0"/>
        </w:rPr>
        <w:tab/>
        <w:t>Every kitchen shall be equipped with — </w:t>
      </w:r>
    </w:p>
    <w:p>
      <w:pPr>
        <w:pStyle w:val="Indenta"/>
        <w:rPr>
          <w:snapToGrid w:val="0"/>
        </w:rPr>
      </w:pPr>
      <w:r>
        <w:rPr>
          <w:snapToGrid w:val="0"/>
        </w:rPr>
        <w:tab/>
        <w:t>(a)</w:t>
      </w:r>
      <w:r>
        <w:rPr>
          <w:snapToGrid w:val="0"/>
        </w:rPr>
        <w:tab/>
        <w:t>a stainless steel sink for dishwashing;</w:t>
      </w:r>
    </w:p>
    <w:p>
      <w:pPr>
        <w:pStyle w:val="Indenta"/>
        <w:rPr>
          <w:snapToGrid w:val="0"/>
        </w:rPr>
      </w:pPr>
      <w:r>
        <w:rPr>
          <w:snapToGrid w:val="0"/>
        </w:rPr>
        <w:tab/>
        <w:t>(b)</w:t>
      </w:r>
      <w:r>
        <w:rPr>
          <w:snapToGrid w:val="0"/>
        </w:rPr>
        <w:tab/>
        <w:t>a stainless steel wash trough for washing pots and larger kitchen utensils;</w:t>
      </w:r>
    </w:p>
    <w:p>
      <w:pPr>
        <w:pStyle w:val="Indenta"/>
        <w:rPr>
          <w:snapToGrid w:val="0"/>
        </w:rPr>
      </w:pPr>
      <w:r>
        <w:rPr>
          <w:snapToGrid w:val="0"/>
        </w:rPr>
        <w:tab/>
        <w:t>(c)</w:t>
      </w:r>
      <w:r>
        <w:rPr>
          <w:snapToGrid w:val="0"/>
        </w:rPr>
        <w:tab/>
        <w:t>a handbasin supplied with hot and cold water, soap, nailbrush and disposable paper towels;</w:t>
      </w:r>
    </w:p>
    <w:p>
      <w:pPr>
        <w:pStyle w:val="Indenta"/>
        <w:rPr>
          <w:snapToGrid w:val="0"/>
        </w:rPr>
      </w:pPr>
      <w:r>
        <w:rPr>
          <w:snapToGrid w:val="0"/>
        </w:rPr>
        <w:tab/>
        <w:t>(d)</w:t>
      </w:r>
      <w:r>
        <w:rPr>
          <w:snapToGrid w:val="0"/>
        </w:rPr>
        <w:tab/>
        <w:t>an adequate supply of hot water available at all times;</w:t>
      </w:r>
    </w:p>
    <w:p>
      <w:pPr>
        <w:pStyle w:val="Indenta"/>
        <w:rPr>
          <w:snapToGrid w:val="0"/>
        </w:rPr>
      </w:pPr>
      <w:r>
        <w:rPr>
          <w:snapToGrid w:val="0"/>
        </w:rPr>
        <w:tab/>
        <w:t>(e)</w:t>
      </w:r>
      <w:r>
        <w:rPr>
          <w:snapToGrid w:val="0"/>
        </w:rPr>
        <w:tab/>
        <w:t>food preparation tables with a smooth impervious washable surface of a material other than lino;</w:t>
      </w:r>
    </w:p>
    <w:p>
      <w:pPr>
        <w:pStyle w:val="Indenta"/>
        <w:rPr>
          <w:snapToGrid w:val="0"/>
        </w:rPr>
      </w:pPr>
      <w:r>
        <w:rPr>
          <w:snapToGrid w:val="0"/>
        </w:rPr>
        <w:tab/>
        <w:t>(f)</w:t>
      </w:r>
      <w:r>
        <w:rPr>
          <w:snapToGrid w:val="0"/>
        </w:rPr>
        <w:tab/>
        <w:t>adequate refrigerated storage for keeping perishable foods;</w:t>
      </w:r>
    </w:p>
    <w:p>
      <w:pPr>
        <w:pStyle w:val="Indenta"/>
        <w:rPr>
          <w:snapToGrid w:val="0"/>
        </w:rPr>
      </w:pPr>
      <w:r>
        <w:rPr>
          <w:snapToGrid w:val="0"/>
        </w:rPr>
        <w:tab/>
        <w:t>(g)</w:t>
      </w:r>
      <w:r>
        <w:rPr>
          <w:snapToGrid w:val="0"/>
        </w:rPr>
        <w:tab/>
        <w:t>a sufficient number of rubbish receptacles with a smooth impervious surface and tight fitting lid, for the reception of food scraps; and</w:t>
      </w:r>
    </w:p>
    <w:p>
      <w:pPr>
        <w:pStyle w:val="Indenta"/>
        <w:rPr>
          <w:snapToGrid w:val="0"/>
        </w:rPr>
      </w:pPr>
      <w:r>
        <w:rPr>
          <w:snapToGrid w:val="0"/>
        </w:rPr>
        <w:tab/>
        <w:t>(h)</w:t>
      </w:r>
      <w:r>
        <w:rPr>
          <w:snapToGrid w:val="0"/>
        </w:rPr>
        <w:tab/>
        <w:t>artificial light.</w:t>
      </w:r>
    </w:p>
    <w:p>
      <w:pPr>
        <w:pStyle w:val="Heading5"/>
        <w:rPr>
          <w:snapToGrid w:val="0"/>
        </w:rPr>
      </w:pPr>
      <w:bookmarkStart w:id="22" w:name="_Toc167798631"/>
      <w:r>
        <w:rPr>
          <w:rStyle w:val="CharSectno"/>
        </w:rPr>
        <w:lastRenderedPageBreak/>
        <w:t>17</w:t>
      </w:r>
      <w:r>
        <w:rPr>
          <w:snapToGrid w:val="0"/>
        </w:rPr>
        <w:t>.</w:t>
      </w:r>
      <w:r>
        <w:rPr>
          <w:snapToGrid w:val="0"/>
        </w:rPr>
        <w:tab/>
        <w:t>Kitchen cleansing</w:t>
      </w:r>
      <w:bookmarkEnd w:id="22"/>
      <w:r>
        <w:rPr>
          <w:snapToGrid w:val="0"/>
        </w:rPr>
        <w:t xml:space="preserve"> </w:t>
      </w:r>
    </w:p>
    <w:p>
      <w:pPr>
        <w:pStyle w:val="Subsection"/>
        <w:rPr>
          <w:snapToGrid w:val="0"/>
        </w:rPr>
      </w:pPr>
      <w:r>
        <w:rPr>
          <w:snapToGrid w:val="0"/>
        </w:rPr>
        <w:tab/>
        <w:t>(1)</w:t>
      </w:r>
      <w:r>
        <w:rPr>
          <w:snapToGrid w:val="0"/>
        </w:rPr>
        <w:tab/>
        <w:t>Every kitchen and all its facilities shall be maintained in a clean and efficient condition.</w:t>
      </w:r>
    </w:p>
    <w:p>
      <w:pPr>
        <w:pStyle w:val="Subsection"/>
        <w:rPr>
          <w:snapToGrid w:val="0"/>
        </w:rPr>
      </w:pPr>
      <w:r>
        <w:rPr>
          <w:snapToGrid w:val="0"/>
        </w:rPr>
        <w:tab/>
        <w:t>(2)</w:t>
      </w:r>
      <w:r>
        <w:rPr>
          <w:snapToGrid w:val="0"/>
        </w:rPr>
        <w:tab/>
        <w:t>To enable cleansing to be carried out in the kitchen — </w:t>
      </w:r>
    </w:p>
    <w:p>
      <w:pPr>
        <w:pStyle w:val="Indenta"/>
        <w:rPr>
          <w:snapToGrid w:val="0"/>
        </w:rPr>
      </w:pPr>
      <w:r>
        <w:rPr>
          <w:snapToGrid w:val="0"/>
        </w:rPr>
        <w:tab/>
        <w:t>(a)</w:t>
      </w:r>
      <w:r>
        <w:rPr>
          <w:snapToGrid w:val="0"/>
        </w:rPr>
        <w:tab/>
        <w:t>stoves, not sealed against a wall, shall be positioned at least 75 millimetres clear of the wall;</w:t>
      </w:r>
    </w:p>
    <w:p>
      <w:pPr>
        <w:pStyle w:val="Indenta"/>
        <w:rPr>
          <w:snapToGrid w:val="0"/>
        </w:rPr>
      </w:pPr>
      <w:r>
        <w:rPr>
          <w:snapToGrid w:val="0"/>
        </w:rPr>
        <w:tab/>
        <w:t>(b)</w:t>
      </w:r>
      <w:r>
        <w:rPr>
          <w:snapToGrid w:val="0"/>
        </w:rPr>
        <w:tab/>
        <w:t>benches and fixtures not built into the floor, shall be at least 380 millimetres clear of the floor; and</w:t>
      </w:r>
    </w:p>
    <w:p>
      <w:pPr>
        <w:pStyle w:val="Indenta"/>
        <w:rPr>
          <w:snapToGrid w:val="0"/>
        </w:rPr>
      </w:pPr>
      <w:r>
        <w:rPr>
          <w:snapToGrid w:val="0"/>
        </w:rPr>
        <w:tab/>
        <w:t>(c)</w:t>
      </w:r>
      <w:r>
        <w:rPr>
          <w:snapToGrid w:val="0"/>
        </w:rPr>
        <w:tab/>
        <w:t>all cupboards and other fixtures and all walls and ceilings shall have smooth impervious washable surfaces.</w:t>
      </w:r>
    </w:p>
    <w:p>
      <w:pPr>
        <w:pStyle w:val="Footnotesection"/>
      </w:pPr>
      <w:r>
        <w:tab/>
        <w:t xml:space="preserve">[Regulation 17 amended: Gazette 3 May 1974 p. 1429.] </w:t>
      </w:r>
    </w:p>
    <w:p>
      <w:pPr>
        <w:pStyle w:val="Heading5"/>
        <w:rPr>
          <w:snapToGrid w:val="0"/>
        </w:rPr>
      </w:pPr>
      <w:bookmarkStart w:id="23" w:name="_Toc167798632"/>
      <w:r>
        <w:rPr>
          <w:rStyle w:val="CharSectno"/>
        </w:rPr>
        <w:t>18</w:t>
      </w:r>
      <w:r>
        <w:rPr>
          <w:snapToGrid w:val="0"/>
        </w:rPr>
        <w:t>.</w:t>
      </w:r>
      <w:r>
        <w:rPr>
          <w:snapToGrid w:val="0"/>
        </w:rPr>
        <w:tab/>
        <w:t>Dining room space</w:t>
      </w:r>
      <w:bookmarkEnd w:id="23"/>
      <w:r>
        <w:rPr>
          <w:snapToGrid w:val="0"/>
        </w:rPr>
        <w:t xml:space="preserve"> </w:t>
      </w:r>
    </w:p>
    <w:p>
      <w:pPr>
        <w:pStyle w:val="Subsection"/>
        <w:rPr>
          <w:snapToGrid w:val="0"/>
        </w:rPr>
      </w:pPr>
      <w:r>
        <w:rPr>
          <w:snapToGrid w:val="0"/>
        </w:rPr>
        <w:tab/>
      </w:r>
      <w:r>
        <w:rPr>
          <w:snapToGrid w:val="0"/>
        </w:rPr>
        <w:tab/>
        <w:t>Every dining room shall contain at least one square metre of space for each person it accommodates at any one time.</w:t>
      </w:r>
    </w:p>
    <w:p>
      <w:pPr>
        <w:pStyle w:val="Footnotesection"/>
      </w:pPr>
      <w:r>
        <w:tab/>
        <w:t xml:space="preserve">[Regulation 18 amended: Gazette 18 Nov 1970 p. 3586; 3 May 1974 p. 1429.] </w:t>
      </w:r>
    </w:p>
    <w:p>
      <w:pPr>
        <w:pStyle w:val="Heading5"/>
        <w:rPr>
          <w:snapToGrid w:val="0"/>
        </w:rPr>
      </w:pPr>
      <w:bookmarkStart w:id="24" w:name="_Toc167798633"/>
      <w:r>
        <w:rPr>
          <w:rStyle w:val="CharSectno"/>
        </w:rPr>
        <w:t>19</w:t>
      </w:r>
      <w:r>
        <w:rPr>
          <w:snapToGrid w:val="0"/>
        </w:rPr>
        <w:t>.</w:t>
      </w:r>
      <w:r>
        <w:rPr>
          <w:snapToGrid w:val="0"/>
        </w:rPr>
        <w:tab/>
        <w:t>Ventilation of dining room</w:t>
      </w:r>
      <w:bookmarkEnd w:id="24"/>
      <w:r>
        <w:rPr>
          <w:snapToGrid w:val="0"/>
        </w:rPr>
        <w:t xml:space="preserve"> </w:t>
      </w:r>
    </w:p>
    <w:p>
      <w:pPr>
        <w:pStyle w:val="Subsection"/>
        <w:rPr>
          <w:snapToGrid w:val="0"/>
        </w:rPr>
      </w:pPr>
      <w:r>
        <w:rPr>
          <w:snapToGrid w:val="0"/>
        </w:rPr>
        <w:tab/>
      </w:r>
      <w:r>
        <w:rPr>
          <w:snapToGrid w:val="0"/>
        </w:rPr>
        <w:tab/>
        <w:t>Every dining room shall be ventilated — </w:t>
      </w:r>
    </w:p>
    <w:p>
      <w:pPr>
        <w:pStyle w:val="Indenta"/>
        <w:rPr>
          <w:snapToGrid w:val="0"/>
        </w:rPr>
      </w:pPr>
      <w:r>
        <w:rPr>
          <w:snapToGrid w:val="0"/>
        </w:rPr>
        <w:tab/>
        <w:t>(a)</w:t>
      </w:r>
      <w:r>
        <w:rPr>
          <w:snapToGrid w:val="0"/>
        </w:rPr>
        <w:tab/>
        <w:t>by controllable ventilation and by permanent ventilation consisting of 0.015 square metre of uncontrolled ventilation for every 10 square metres of area;</w:t>
      </w:r>
    </w:p>
    <w:p>
      <w:pPr>
        <w:pStyle w:val="Indenta"/>
        <w:rPr>
          <w:snapToGrid w:val="0"/>
        </w:rPr>
      </w:pPr>
      <w:r>
        <w:rPr>
          <w:snapToGrid w:val="0"/>
        </w:rPr>
        <w:tab/>
        <w:t>(b)</w:t>
      </w:r>
      <w:r>
        <w:rPr>
          <w:snapToGrid w:val="0"/>
        </w:rPr>
        <w:tab/>
        <w:t>by a system of mechanical ventilation giving not less than 8 complete changes of air per hour; or</w:t>
      </w:r>
    </w:p>
    <w:p>
      <w:pPr>
        <w:pStyle w:val="Indenta"/>
        <w:rPr>
          <w:snapToGrid w:val="0"/>
        </w:rPr>
      </w:pPr>
      <w:r>
        <w:rPr>
          <w:snapToGrid w:val="0"/>
        </w:rPr>
        <w:tab/>
        <w:t>(c)</w:t>
      </w:r>
      <w:r>
        <w:rPr>
          <w:snapToGrid w:val="0"/>
        </w:rPr>
        <w:tab/>
        <w:t>by effective air conditioning.</w:t>
      </w:r>
    </w:p>
    <w:p>
      <w:pPr>
        <w:pStyle w:val="Footnotesection"/>
      </w:pPr>
      <w:r>
        <w:tab/>
        <w:t xml:space="preserve">[Regulation 19 amended: Gazette 18 Nov 1970 p. 3586; 3 May 1974 p. 1429.] </w:t>
      </w:r>
    </w:p>
    <w:p>
      <w:pPr>
        <w:pStyle w:val="Heading5"/>
        <w:rPr>
          <w:snapToGrid w:val="0"/>
        </w:rPr>
      </w:pPr>
      <w:bookmarkStart w:id="25" w:name="_Toc167798634"/>
      <w:r>
        <w:rPr>
          <w:rStyle w:val="CharSectno"/>
        </w:rPr>
        <w:lastRenderedPageBreak/>
        <w:t>20</w:t>
      </w:r>
      <w:r>
        <w:rPr>
          <w:snapToGrid w:val="0"/>
        </w:rPr>
        <w:t>.</w:t>
      </w:r>
      <w:r>
        <w:rPr>
          <w:snapToGrid w:val="0"/>
        </w:rPr>
        <w:tab/>
        <w:t>Construction and lighting of dining room</w:t>
      </w:r>
      <w:bookmarkEnd w:id="25"/>
      <w:r>
        <w:rPr>
          <w:snapToGrid w:val="0"/>
        </w:rPr>
        <w:t xml:space="preserve"> </w:t>
      </w:r>
    </w:p>
    <w:p>
      <w:pPr>
        <w:pStyle w:val="Subsection"/>
        <w:keepNext/>
        <w:rPr>
          <w:snapToGrid w:val="0"/>
        </w:rPr>
      </w:pPr>
      <w:r>
        <w:rPr>
          <w:snapToGrid w:val="0"/>
        </w:rPr>
        <w:tab/>
      </w:r>
      <w:r>
        <w:rPr>
          <w:snapToGrid w:val="0"/>
        </w:rPr>
        <w:tab/>
        <w:t>Every dining room — </w:t>
      </w:r>
    </w:p>
    <w:p>
      <w:pPr>
        <w:pStyle w:val="Indenta"/>
        <w:rPr>
          <w:snapToGrid w:val="0"/>
        </w:rPr>
      </w:pPr>
      <w:r>
        <w:rPr>
          <w:snapToGrid w:val="0"/>
        </w:rPr>
        <w:tab/>
        <w:t>(a)</w:t>
      </w:r>
      <w:r>
        <w:rPr>
          <w:snapToGrid w:val="0"/>
        </w:rPr>
        <w:tab/>
        <w:t>shall be lined and ceiled;</w:t>
      </w:r>
    </w:p>
    <w:p>
      <w:pPr>
        <w:pStyle w:val="Indenta"/>
        <w:rPr>
          <w:snapToGrid w:val="0"/>
        </w:rPr>
      </w:pPr>
      <w:r>
        <w:rPr>
          <w:snapToGrid w:val="0"/>
        </w:rPr>
        <w:tab/>
        <w:t>(b)</w:t>
      </w:r>
      <w:r>
        <w:rPr>
          <w:snapToGrid w:val="0"/>
        </w:rPr>
        <w:tab/>
        <w:t>shall have walls with a smooth impervious washable surface to a height of at least 1.8 metres;</w:t>
      </w:r>
    </w:p>
    <w:p>
      <w:pPr>
        <w:pStyle w:val="Indenta"/>
        <w:rPr>
          <w:snapToGrid w:val="0"/>
        </w:rPr>
      </w:pPr>
      <w:r>
        <w:rPr>
          <w:snapToGrid w:val="0"/>
        </w:rPr>
        <w:tab/>
        <w:t>(c)</w:t>
      </w:r>
      <w:r>
        <w:rPr>
          <w:snapToGrid w:val="0"/>
        </w:rPr>
        <w:tab/>
        <w:t>shall have floors of an impervious material;</w:t>
      </w:r>
    </w:p>
    <w:p>
      <w:pPr>
        <w:pStyle w:val="Indenta"/>
        <w:rPr>
          <w:snapToGrid w:val="0"/>
        </w:rPr>
      </w:pPr>
      <w:r>
        <w:rPr>
          <w:snapToGrid w:val="0"/>
        </w:rPr>
        <w:tab/>
        <w:t>(d)</w:t>
      </w:r>
      <w:r>
        <w:rPr>
          <w:snapToGrid w:val="0"/>
        </w:rPr>
        <w:tab/>
        <w:t>shall have window areas of one square metre for each 10 square metres of floor space, or be effectively air conditioned;</w:t>
      </w:r>
    </w:p>
    <w:p>
      <w:pPr>
        <w:pStyle w:val="Indenta"/>
        <w:rPr>
          <w:snapToGrid w:val="0"/>
        </w:rPr>
      </w:pPr>
      <w:r>
        <w:rPr>
          <w:snapToGrid w:val="0"/>
        </w:rPr>
        <w:tab/>
        <w:t>(e)</w:t>
      </w:r>
      <w:r>
        <w:rPr>
          <w:snapToGrid w:val="0"/>
        </w:rPr>
        <w:tab/>
        <w:t>shall be provided with artificial light.</w:t>
      </w:r>
    </w:p>
    <w:p>
      <w:pPr>
        <w:pStyle w:val="Footnotesection"/>
      </w:pPr>
      <w:r>
        <w:tab/>
        <w:t xml:space="preserve">[Regulation 20 amended: Gazette 18 Nov 1970 p. 3587; 3 May 1974 p. 1429.] </w:t>
      </w:r>
    </w:p>
    <w:p>
      <w:pPr>
        <w:pStyle w:val="Heading5"/>
        <w:rPr>
          <w:snapToGrid w:val="0"/>
        </w:rPr>
      </w:pPr>
      <w:bookmarkStart w:id="26" w:name="_Toc167798635"/>
      <w:r>
        <w:rPr>
          <w:rStyle w:val="CharSectno"/>
        </w:rPr>
        <w:t>21</w:t>
      </w:r>
      <w:r>
        <w:rPr>
          <w:snapToGrid w:val="0"/>
        </w:rPr>
        <w:t>.</w:t>
      </w:r>
      <w:r>
        <w:rPr>
          <w:snapToGrid w:val="0"/>
        </w:rPr>
        <w:tab/>
        <w:t>Dining room insect protection</w:t>
      </w:r>
      <w:bookmarkEnd w:id="26"/>
      <w:r>
        <w:rPr>
          <w:snapToGrid w:val="0"/>
        </w:rPr>
        <w:t xml:space="preserve"> </w:t>
      </w:r>
    </w:p>
    <w:p>
      <w:pPr>
        <w:pStyle w:val="Subsection"/>
        <w:rPr>
          <w:snapToGrid w:val="0"/>
        </w:rPr>
      </w:pPr>
      <w:r>
        <w:rPr>
          <w:snapToGrid w:val="0"/>
        </w:rPr>
        <w:tab/>
      </w:r>
      <w:r>
        <w:rPr>
          <w:snapToGrid w:val="0"/>
        </w:rPr>
        <w:tab/>
        <w:t>The windows, doorways and other openings in the dining room shall be screened with a fine mesh or by some other physical means to exclude the ingress of flies and other insects.</w:t>
      </w:r>
    </w:p>
    <w:p>
      <w:pPr>
        <w:pStyle w:val="Footnotesection"/>
      </w:pPr>
      <w:r>
        <w:tab/>
        <w:t xml:space="preserve">[Regulation 21 amended: Gazette 18 Nov 1970 p. 3587.] </w:t>
      </w:r>
    </w:p>
    <w:p>
      <w:pPr>
        <w:pStyle w:val="Heading5"/>
        <w:rPr>
          <w:snapToGrid w:val="0"/>
        </w:rPr>
      </w:pPr>
      <w:bookmarkStart w:id="27" w:name="_Toc167798636"/>
      <w:r>
        <w:rPr>
          <w:rStyle w:val="CharSectno"/>
        </w:rPr>
        <w:t>22</w:t>
      </w:r>
      <w:r>
        <w:rPr>
          <w:snapToGrid w:val="0"/>
        </w:rPr>
        <w:t>.</w:t>
      </w:r>
      <w:r>
        <w:rPr>
          <w:snapToGrid w:val="0"/>
        </w:rPr>
        <w:tab/>
        <w:t>Tables</w:t>
      </w:r>
      <w:bookmarkEnd w:id="27"/>
      <w:r>
        <w:rPr>
          <w:snapToGrid w:val="0"/>
        </w:rPr>
        <w:t xml:space="preserve"> </w:t>
      </w:r>
    </w:p>
    <w:p>
      <w:pPr>
        <w:pStyle w:val="Subsection"/>
        <w:rPr>
          <w:snapToGrid w:val="0"/>
        </w:rPr>
      </w:pPr>
      <w:r>
        <w:rPr>
          <w:snapToGrid w:val="0"/>
        </w:rPr>
        <w:tab/>
      </w:r>
      <w:r>
        <w:rPr>
          <w:snapToGrid w:val="0"/>
        </w:rPr>
        <w:tab/>
        <w:t>Every dining room — </w:t>
      </w:r>
    </w:p>
    <w:p>
      <w:pPr>
        <w:pStyle w:val="Indenta"/>
        <w:rPr>
          <w:snapToGrid w:val="0"/>
        </w:rPr>
      </w:pPr>
      <w:r>
        <w:rPr>
          <w:snapToGrid w:val="0"/>
        </w:rPr>
        <w:tab/>
        <w:t>(a)</w:t>
      </w:r>
      <w:r>
        <w:rPr>
          <w:snapToGrid w:val="0"/>
        </w:rPr>
        <w:tab/>
        <w:t>shall have tables with a smooth impervious washable surface of a material other than lino; and</w:t>
      </w:r>
    </w:p>
    <w:p>
      <w:pPr>
        <w:pStyle w:val="Indenta"/>
        <w:rPr>
          <w:snapToGrid w:val="0"/>
        </w:rPr>
      </w:pPr>
      <w:r>
        <w:rPr>
          <w:snapToGrid w:val="0"/>
        </w:rPr>
        <w:tab/>
        <w:t>(b)</w:t>
      </w:r>
      <w:r>
        <w:rPr>
          <w:snapToGrid w:val="0"/>
        </w:rPr>
        <w:tab/>
        <w:t>shall have at least 610 millimetres of space at a dining table for every person it accommodates.</w:t>
      </w:r>
    </w:p>
    <w:p>
      <w:pPr>
        <w:pStyle w:val="Footnotesection"/>
      </w:pPr>
      <w:r>
        <w:tab/>
        <w:t xml:space="preserve">[Regulation 22 amended: Gazette 3 May 1974 p. 1429.] </w:t>
      </w:r>
    </w:p>
    <w:p>
      <w:pPr>
        <w:pStyle w:val="Heading5"/>
        <w:rPr>
          <w:snapToGrid w:val="0"/>
        </w:rPr>
      </w:pPr>
      <w:bookmarkStart w:id="28" w:name="_Toc167798637"/>
      <w:r>
        <w:rPr>
          <w:rStyle w:val="CharSectno"/>
        </w:rPr>
        <w:t>23</w:t>
      </w:r>
      <w:r>
        <w:rPr>
          <w:snapToGrid w:val="0"/>
        </w:rPr>
        <w:t>.</w:t>
      </w:r>
      <w:r>
        <w:rPr>
          <w:snapToGrid w:val="0"/>
        </w:rPr>
        <w:tab/>
        <w:t>Sanitary and ablutionary facilities</w:t>
      </w:r>
      <w:bookmarkEnd w:id="28"/>
      <w:r>
        <w:rPr>
          <w:snapToGrid w:val="0"/>
        </w:rPr>
        <w:t xml:space="preserve"> </w:t>
      </w:r>
    </w:p>
    <w:p>
      <w:pPr>
        <w:pStyle w:val="Subsection"/>
        <w:rPr>
          <w:snapToGrid w:val="0"/>
        </w:rPr>
      </w:pPr>
      <w:r>
        <w:rPr>
          <w:snapToGrid w:val="0"/>
        </w:rPr>
        <w:tab/>
      </w:r>
      <w:r>
        <w:rPr>
          <w:snapToGrid w:val="0"/>
        </w:rPr>
        <w:tab/>
        <w:t>Every construction camp shall provide — </w:t>
      </w:r>
    </w:p>
    <w:p>
      <w:pPr>
        <w:pStyle w:val="Indenta"/>
        <w:rPr>
          <w:snapToGrid w:val="0"/>
        </w:rPr>
      </w:pPr>
      <w:r>
        <w:rPr>
          <w:snapToGrid w:val="0"/>
        </w:rPr>
        <w:tab/>
        <w:t>(a)</w:t>
      </w:r>
      <w:r>
        <w:rPr>
          <w:snapToGrid w:val="0"/>
        </w:rPr>
        <w:tab/>
        <w:t>for males — </w:t>
      </w:r>
    </w:p>
    <w:p>
      <w:pPr>
        <w:pStyle w:val="Indenti"/>
        <w:rPr>
          <w:snapToGrid w:val="0"/>
        </w:rPr>
      </w:pPr>
      <w:r>
        <w:rPr>
          <w:snapToGrid w:val="0"/>
        </w:rPr>
        <w:tab/>
        <w:t>(i)</w:t>
      </w:r>
      <w:r>
        <w:rPr>
          <w:snapToGrid w:val="0"/>
        </w:rPr>
        <w:tab/>
        <w:t>one closet to every 15 employees;</w:t>
      </w:r>
    </w:p>
    <w:p>
      <w:pPr>
        <w:pStyle w:val="Indenti"/>
        <w:rPr>
          <w:snapToGrid w:val="0"/>
        </w:rPr>
      </w:pPr>
      <w:r>
        <w:rPr>
          <w:snapToGrid w:val="0"/>
        </w:rPr>
        <w:lastRenderedPageBreak/>
        <w:tab/>
        <w:t>(ii)</w:t>
      </w:r>
      <w:r>
        <w:rPr>
          <w:snapToGrid w:val="0"/>
        </w:rPr>
        <w:tab/>
        <w:t>one urinal stall or 535 millimetres of urinal space at a urinal stall for every 20 employees;</w:t>
      </w:r>
    </w:p>
    <w:p>
      <w:pPr>
        <w:pStyle w:val="Indenti"/>
        <w:rPr>
          <w:snapToGrid w:val="0"/>
        </w:rPr>
      </w:pPr>
      <w:r>
        <w:rPr>
          <w:snapToGrid w:val="0"/>
        </w:rPr>
        <w:tab/>
        <w:t>(iii)</w:t>
      </w:r>
      <w:r>
        <w:rPr>
          <w:snapToGrid w:val="0"/>
        </w:rPr>
        <w:tab/>
        <w:t>one shower to every 15 employees; and</w:t>
      </w:r>
    </w:p>
    <w:p>
      <w:pPr>
        <w:pStyle w:val="Indenti"/>
        <w:rPr>
          <w:snapToGrid w:val="0"/>
        </w:rPr>
      </w:pPr>
      <w:r>
        <w:rPr>
          <w:snapToGrid w:val="0"/>
        </w:rPr>
        <w:tab/>
        <w:t>(iv)</w:t>
      </w:r>
      <w:r>
        <w:rPr>
          <w:snapToGrid w:val="0"/>
        </w:rPr>
        <w:tab/>
        <w:t>either one wash basin to every 15 employees or an equivalent trough with taps spaced 610 millimetres apart;</w:t>
      </w:r>
    </w:p>
    <w:p>
      <w:pPr>
        <w:pStyle w:val="Indenta"/>
        <w:rPr>
          <w:snapToGrid w:val="0"/>
        </w:rPr>
      </w:pPr>
      <w:r>
        <w:rPr>
          <w:snapToGrid w:val="0"/>
        </w:rPr>
        <w:tab/>
        <w:t>(b)</w:t>
      </w:r>
      <w:r>
        <w:rPr>
          <w:snapToGrid w:val="0"/>
        </w:rPr>
        <w:tab/>
        <w:t>for females — </w:t>
      </w:r>
    </w:p>
    <w:p>
      <w:pPr>
        <w:pStyle w:val="Indenti"/>
        <w:rPr>
          <w:snapToGrid w:val="0"/>
        </w:rPr>
      </w:pPr>
      <w:r>
        <w:rPr>
          <w:snapToGrid w:val="0"/>
        </w:rPr>
        <w:tab/>
        <w:t>(i)</w:t>
      </w:r>
      <w:r>
        <w:rPr>
          <w:snapToGrid w:val="0"/>
        </w:rPr>
        <w:tab/>
        <w:t>one closet to every 10 employees;</w:t>
      </w:r>
    </w:p>
    <w:p>
      <w:pPr>
        <w:pStyle w:val="Indenti"/>
        <w:rPr>
          <w:snapToGrid w:val="0"/>
        </w:rPr>
      </w:pPr>
      <w:r>
        <w:rPr>
          <w:snapToGrid w:val="0"/>
        </w:rPr>
        <w:tab/>
        <w:t>(ii)</w:t>
      </w:r>
      <w:r>
        <w:rPr>
          <w:snapToGrid w:val="0"/>
        </w:rPr>
        <w:tab/>
        <w:t>one shower to every 15 employees; and</w:t>
      </w:r>
    </w:p>
    <w:p>
      <w:pPr>
        <w:pStyle w:val="Indenti"/>
        <w:rPr>
          <w:snapToGrid w:val="0"/>
        </w:rPr>
      </w:pPr>
      <w:r>
        <w:rPr>
          <w:snapToGrid w:val="0"/>
        </w:rPr>
        <w:tab/>
        <w:t>(iii)</w:t>
      </w:r>
      <w:r>
        <w:rPr>
          <w:snapToGrid w:val="0"/>
        </w:rPr>
        <w:tab/>
        <w:t>either one wash basin to every 15 employees or an equivalent trough with taps spaced 610 millimetres apart.</w:t>
      </w:r>
    </w:p>
    <w:p>
      <w:pPr>
        <w:pStyle w:val="Footnotesection"/>
      </w:pPr>
      <w:r>
        <w:tab/>
        <w:t xml:space="preserve">[Regulation 23 amended: Gazette 3 May 1974 p. 1429.] </w:t>
      </w:r>
    </w:p>
    <w:p>
      <w:pPr>
        <w:pStyle w:val="Heading5"/>
        <w:rPr>
          <w:snapToGrid w:val="0"/>
        </w:rPr>
      </w:pPr>
      <w:bookmarkStart w:id="29" w:name="_Toc167798638"/>
      <w:r>
        <w:rPr>
          <w:rStyle w:val="CharSectno"/>
        </w:rPr>
        <w:t>24</w:t>
      </w:r>
      <w:r>
        <w:rPr>
          <w:snapToGrid w:val="0"/>
        </w:rPr>
        <w:t>.</w:t>
      </w:r>
      <w:r>
        <w:rPr>
          <w:snapToGrid w:val="0"/>
        </w:rPr>
        <w:tab/>
        <w:t>Closets</w:t>
      </w:r>
      <w:bookmarkEnd w:id="29"/>
      <w:r>
        <w:rPr>
          <w:snapToGrid w:val="0"/>
        </w:rPr>
        <w:t xml:space="preserve"> </w:t>
      </w:r>
    </w:p>
    <w:p>
      <w:pPr>
        <w:pStyle w:val="Subsection"/>
        <w:rPr>
          <w:snapToGrid w:val="0"/>
        </w:rPr>
      </w:pPr>
      <w:r>
        <w:rPr>
          <w:snapToGrid w:val="0"/>
        </w:rPr>
        <w:tab/>
      </w:r>
      <w:r>
        <w:rPr>
          <w:snapToGrid w:val="0"/>
        </w:rPr>
        <w:tab/>
        <w:t>In every construction camp — </w:t>
      </w:r>
    </w:p>
    <w:p>
      <w:pPr>
        <w:pStyle w:val="Indenta"/>
        <w:rPr>
          <w:snapToGrid w:val="0"/>
        </w:rPr>
      </w:pPr>
      <w:r>
        <w:rPr>
          <w:snapToGrid w:val="0"/>
        </w:rPr>
        <w:tab/>
        <w:t>(a)</w:t>
      </w:r>
      <w:r>
        <w:rPr>
          <w:snapToGrid w:val="0"/>
        </w:rPr>
        <w:tab/>
        <w:t>closets shall be connected to the water carriage system of disposal wherever possible;</w:t>
      </w:r>
    </w:p>
    <w:p>
      <w:pPr>
        <w:pStyle w:val="Indenta"/>
        <w:rPr>
          <w:snapToGrid w:val="0"/>
        </w:rPr>
      </w:pPr>
      <w:r>
        <w:rPr>
          <w:snapToGrid w:val="0"/>
        </w:rPr>
        <w:tab/>
        <w:t>(b)</w:t>
      </w:r>
      <w:r>
        <w:rPr>
          <w:snapToGrid w:val="0"/>
        </w:rPr>
        <w:tab/>
        <w:t>where a closet is not connected to the water carriage system of disposal it shall he so constructed as to be completely fly proof.</w:t>
      </w:r>
    </w:p>
    <w:p>
      <w:pPr>
        <w:pStyle w:val="Heading5"/>
        <w:rPr>
          <w:snapToGrid w:val="0"/>
        </w:rPr>
      </w:pPr>
      <w:bookmarkStart w:id="30" w:name="_Toc167798639"/>
      <w:r>
        <w:rPr>
          <w:rStyle w:val="CharSectno"/>
        </w:rPr>
        <w:t>25</w:t>
      </w:r>
      <w:r>
        <w:rPr>
          <w:snapToGrid w:val="0"/>
        </w:rPr>
        <w:t>.</w:t>
      </w:r>
      <w:r>
        <w:rPr>
          <w:snapToGrid w:val="0"/>
        </w:rPr>
        <w:tab/>
        <w:t>Plumbing standards</w:t>
      </w:r>
      <w:bookmarkEnd w:id="30"/>
      <w:r>
        <w:rPr>
          <w:snapToGrid w:val="0"/>
        </w:rPr>
        <w:t xml:space="preserve"> </w:t>
      </w:r>
    </w:p>
    <w:p>
      <w:pPr>
        <w:pStyle w:val="Subsection"/>
        <w:rPr>
          <w:snapToGrid w:val="0"/>
        </w:rPr>
      </w:pPr>
      <w:r>
        <w:rPr>
          <w:snapToGrid w:val="0"/>
        </w:rPr>
        <w:tab/>
      </w:r>
      <w:r>
        <w:rPr>
          <w:snapToGrid w:val="0"/>
        </w:rPr>
        <w:tab/>
        <w:t>All plumbing fixtures and fittings at a construction camp shall be in accordance with the</w:t>
      </w:r>
      <w:r>
        <w:t xml:space="preserve"> requirements and standards applicable under the </w:t>
      </w:r>
      <w:r>
        <w:rPr>
          <w:i/>
        </w:rPr>
        <w:t>Water Services Act 2012</w:t>
      </w:r>
      <w:r>
        <w:t xml:space="preserve"> and the </w:t>
      </w:r>
      <w:r>
        <w:rPr>
          <w:i/>
        </w:rPr>
        <w:t>Plumbers Licensing and Plumbing Standards Regulations 2000</w:t>
      </w:r>
      <w:r>
        <w:t>.</w:t>
      </w:r>
    </w:p>
    <w:p>
      <w:pPr>
        <w:pStyle w:val="Footnotesection"/>
      </w:pPr>
      <w:r>
        <w:tab/>
        <w:t>[Regulation 25 amended: Gazette 14 Nov 2013 p. 5031.]</w:t>
      </w:r>
    </w:p>
    <w:p>
      <w:pPr>
        <w:pStyle w:val="Heading5"/>
        <w:rPr>
          <w:snapToGrid w:val="0"/>
        </w:rPr>
      </w:pPr>
      <w:bookmarkStart w:id="31" w:name="_Toc167798640"/>
      <w:r>
        <w:rPr>
          <w:rStyle w:val="CharSectno"/>
        </w:rPr>
        <w:lastRenderedPageBreak/>
        <w:t>26</w:t>
      </w:r>
      <w:r>
        <w:rPr>
          <w:snapToGrid w:val="0"/>
        </w:rPr>
        <w:t>.</w:t>
      </w:r>
      <w:r>
        <w:rPr>
          <w:snapToGrid w:val="0"/>
        </w:rPr>
        <w:tab/>
        <w:t>Laundry facilities</w:t>
      </w:r>
      <w:bookmarkEnd w:id="31"/>
      <w:r>
        <w:rPr>
          <w:snapToGrid w:val="0"/>
        </w:rPr>
        <w:t xml:space="preserve"> </w:t>
      </w:r>
    </w:p>
    <w:p>
      <w:pPr>
        <w:pStyle w:val="Subsection"/>
        <w:rPr>
          <w:snapToGrid w:val="0"/>
        </w:rPr>
      </w:pPr>
      <w:r>
        <w:rPr>
          <w:snapToGrid w:val="0"/>
        </w:rPr>
        <w:tab/>
        <w:t>(1)</w:t>
      </w:r>
      <w:r>
        <w:rPr>
          <w:snapToGrid w:val="0"/>
        </w:rPr>
        <w:tab/>
        <w:t>Unless industrial laundry facilities are provided, every construction camp shall be provided with washing units to the following scale: </w:t>
      </w:r>
    </w:p>
    <w:p>
      <w:pPr>
        <w:pStyle w:val="MiscellaneousBody"/>
        <w:tabs>
          <w:tab w:val="left" w:pos="1134"/>
        </w:tabs>
        <w:spacing w:before="80"/>
        <w:ind w:left="1134" w:hanging="1134"/>
        <w:rPr>
          <w:snapToGrid w:val="0"/>
        </w:rPr>
      </w:pPr>
      <w:r>
        <w:rPr>
          <w:snapToGrid w:val="0"/>
        </w:rPr>
        <w:tab/>
        <w:t>Up to 100 persons — 1 unit to 10 persons.</w:t>
      </w:r>
    </w:p>
    <w:p>
      <w:pPr>
        <w:pStyle w:val="MiscellaneousBody"/>
        <w:tabs>
          <w:tab w:val="left" w:pos="1134"/>
        </w:tabs>
        <w:spacing w:before="0"/>
        <w:ind w:left="1134" w:hanging="1134"/>
        <w:rPr>
          <w:snapToGrid w:val="0"/>
        </w:rPr>
      </w:pPr>
      <w:r>
        <w:rPr>
          <w:snapToGrid w:val="0"/>
        </w:rPr>
        <w:tab/>
        <w:t>Over 100 up to 200 persons — 1 unit to 12 persons.</w:t>
      </w:r>
    </w:p>
    <w:p>
      <w:pPr>
        <w:pStyle w:val="MiscellaneousBody"/>
        <w:tabs>
          <w:tab w:val="left" w:pos="1134"/>
        </w:tabs>
        <w:spacing w:before="0"/>
        <w:ind w:left="1134" w:hanging="1134"/>
        <w:rPr>
          <w:snapToGrid w:val="0"/>
        </w:rPr>
      </w:pPr>
      <w:r>
        <w:rPr>
          <w:snapToGrid w:val="0"/>
        </w:rPr>
        <w:tab/>
        <w:t>Over 200 up to 300 persons — 1 unit to 15 persons.</w:t>
      </w:r>
    </w:p>
    <w:p>
      <w:pPr>
        <w:pStyle w:val="MiscellaneousBody"/>
        <w:tabs>
          <w:tab w:val="left" w:pos="1134"/>
        </w:tabs>
        <w:spacing w:before="0"/>
        <w:ind w:left="1134" w:hanging="1134"/>
        <w:rPr>
          <w:snapToGrid w:val="0"/>
        </w:rPr>
      </w:pPr>
      <w:r>
        <w:rPr>
          <w:snapToGrid w:val="0"/>
        </w:rPr>
        <w:tab/>
        <w:t>Over 300 up to 500 persons — 1 unit to 20 persons.</w:t>
      </w:r>
    </w:p>
    <w:p>
      <w:pPr>
        <w:pStyle w:val="MiscellaneousBody"/>
        <w:tabs>
          <w:tab w:val="left" w:pos="1134"/>
        </w:tabs>
        <w:spacing w:before="0"/>
        <w:ind w:left="1134" w:hanging="1134"/>
        <w:rPr>
          <w:snapToGrid w:val="0"/>
        </w:rPr>
      </w:pPr>
      <w:r>
        <w:rPr>
          <w:snapToGrid w:val="0"/>
        </w:rPr>
        <w:tab/>
        <w:t>Over 500 persons — 1 unit to 30 persons.</w:t>
      </w:r>
    </w:p>
    <w:p>
      <w:pPr>
        <w:pStyle w:val="MiscellaneousBody"/>
        <w:tabs>
          <w:tab w:val="left" w:pos="1134"/>
        </w:tabs>
        <w:spacing w:before="0"/>
        <w:ind w:left="1134" w:hanging="1134"/>
        <w:rPr>
          <w:snapToGrid w:val="0"/>
        </w:rPr>
      </w:pPr>
      <w:r>
        <w:rPr>
          <w:snapToGrid w:val="0"/>
        </w:rPr>
        <w:tab/>
        <w:t>One washing unit consists of a copper and 2 troughs or a washing machine and one trough.</w:t>
      </w:r>
    </w:p>
    <w:p>
      <w:pPr>
        <w:pStyle w:val="Subsection"/>
        <w:rPr>
          <w:snapToGrid w:val="0"/>
        </w:rPr>
      </w:pPr>
      <w:r>
        <w:rPr>
          <w:snapToGrid w:val="0"/>
        </w:rPr>
        <w:tab/>
        <w:t>(2)</w:t>
      </w:r>
      <w:r>
        <w:rPr>
          <w:snapToGrid w:val="0"/>
        </w:rPr>
        <w:tab/>
        <w:t>Where a washing machine is provided it must be connected to a hot water supply or have its own element capable of heating the water.</w:t>
      </w:r>
    </w:p>
    <w:p>
      <w:pPr>
        <w:pStyle w:val="Subsection"/>
        <w:rPr>
          <w:snapToGrid w:val="0"/>
        </w:rPr>
      </w:pPr>
      <w:r>
        <w:rPr>
          <w:snapToGrid w:val="0"/>
        </w:rPr>
        <w:tab/>
        <w:t>(3)</w:t>
      </w:r>
      <w:r>
        <w:rPr>
          <w:snapToGrid w:val="0"/>
        </w:rPr>
        <w:tab/>
        <w:t>Clothes hoist or lines shall be provided in sufficient quantity to cater for the needs of the employees.</w:t>
      </w:r>
    </w:p>
    <w:p>
      <w:pPr>
        <w:pStyle w:val="Footnotesection"/>
      </w:pPr>
      <w:r>
        <w:tab/>
        <w:t xml:space="preserve">[Regulation 26 amended: Gazette 18 Nov 1970 p. 3587.] </w:t>
      </w:r>
    </w:p>
    <w:p>
      <w:pPr>
        <w:pStyle w:val="Heading5"/>
        <w:rPr>
          <w:snapToGrid w:val="0"/>
        </w:rPr>
      </w:pPr>
      <w:bookmarkStart w:id="32" w:name="_Toc167798641"/>
      <w:r>
        <w:rPr>
          <w:rStyle w:val="CharSectno"/>
        </w:rPr>
        <w:t>27</w:t>
      </w:r>
      <w:r>
        <w:rPr>
          <w:snapToGrid w:val="0"/>
        </w:rPr>
        <w:t>.</w:t>
      </w:r>
      <w:r>
        <w:rPr>
          <w:snapToGrid w:val="0"/>
        </w:rPr>
        <w:tab/>
        <w:t>Water supply</w:t>
      </w:r>
      <w:bookmarkEnd w:id="32"/>
      <w:r>
        <w:rPr>
          <w:snapToGrid w:val="0"/>
        </w:rPr>
        <w:t xml:space="preserve"> </w:t>
      </w:r>
    </w:p>
    <w:p>
      <w:pPr>
        <w:pStyle w:val="Subsection"/>
        <w:rPr>
          <w:snapToGrid w:val="0"/>
        </w:rPr>
      </w:pPr>
      <w:r>
        <w:rPr>
          <w:snapToGrid w:val="0"/>
        </w:rPr>
        <w:tab/>
        <w:t>(1)</w:t>
      </w:r>
      <w:r>
        <w:rPr>
          <w:snapToGrid w:val="0"/>
        </w:rPr>
        <w:tab/>
        <w:t>A sufficient supply of potable water for drinking purposes shall be provided at every construction camp.</w:t>
      </w:r>
    </w:p>
    <w:p>
      <w:pPr>
        <w:pStyle w:val="Subsection"/>
        <w:rPr>
          <w:snapToGrid w:val="0"/>
        </w:rPr>
      </w:pPr>
      <w:r>
        <w:rPr>
          <w:snapToGrid w:val="0"/>
        </w:rPr>
        <w:tab/>
        <w:t>(2)</w:t>
      </w:r>
      <w:r>
        <w:rPr>
          <w:snapToGrid w:val="0"/>
        </w:rPr>
        <w:tab/>
        <w:t>All tanks and vessels used for the storage of drinking water shall be so constructed and covered as to prevent water stored therein from becoming polluted or contaminated.</w:t>
      </w:r>
    </w:p>
    <w:p>
      <w:pPr>
        <w:pStyle w:val="Heading2"/>
      </w:pPr>
      <w:bookmarkStart w:id="33" w:name="_Toc167786021"/>
      <w:bookmarkStart w:id="34" w:name="_Toc167786294"/>
      <w:bookmarkStart w:id="35" w:name="_Toc167798642"/>
      <w:r>
        <w:rPr>
          <w:rStyle w:val="CharPartNo"/>
        </w:rPr>
        <w:lastRenderedPageBreak/>
        <w:t>Part III</w:t>
      </w:r>
      <w:r>
        <w:rPr>
          <w:rStyle w:val="CharDivNo"/>
        </w:rPr>
        <w:t> </w:t>
      </w:r>
      <w:r>
        <w:t>—</w:t>
      </w:r>
      <w:r>
        <w:rPr>
          <w:rStyle w:val="CharDivText"/>
        </w:rPr>
        <w:t> </w:t>
      </w:r>
      <w:r>
        <w:rPr>
          <w:rStyle w:val="CharPartText"/>
        </w:rPr>
        <w:t>Caravans used in construction camps</w:t>
      </w:r>
      <w:bookmarkEnd w:id="33"/>
      <w:bookmarkEnd w:id="34"/>
      <w:bookmarkEnd w:id="35"/>
      <w:r>
        <w:rPr>
          <w:rStyle w:val="CharPartText"/>
        </w:rPr>
        <w:t xml:space="preserve"> </w:t>
      </w:r>
    </w:p>
    <w:p>
      <w:pPr>
        <w:pStyle w:val="Heading5"/>
        <w:rPr>
          <w:snapToGrid w:val="0"/>
        </w:rPr>
      </w:pPr>
      <w:bookmarkStart w:id="36" w:name="_Toc167798643"/>
      <w:r>
        <w:rPr>
          <w:rStyle w:val="CharSectno"/>
        </w:rPr>
        <w:t>28</w:t>
      </w:r>
      <w:r>
        <w:rPr>
          <w:snapToGrid w:val="0"/>
        </w:rPr>
        <w:t>.</w:t>
      </w:r>
      <w:r>
        <w:rPr>
          <w:snapToGrid w:val="0"/>
        </w:rPr>
        <w:tab/>
        <w:t>Definitions</w:t>
      </w:r>
      <w:bookmarkEnd w:id="36"/>
      <w:r>
        <w:rPr>
          <w:snapToGrid w:val="0"/>
        </w:rPr>
        <w:t xml:space="preserve"> </w:t>
      </w:r>
    </w:p>
    <w:p>
      <w:pPr>
        <w:pStyle w:val="Subsection"/>
        <w:rPr>
          <w:snapToGrid w:val="0"/>
        </w:rPr>
      </w:pPr>
      <w:r>
        <w:rPr>
          <w:snapToGrid w:val="0"/>
        </w:rPr>
        <w:tab/>
      </w:r>
      <w:r>
        <w:rPr>
          <w:snapToGrid w:val="0"/>
        </w:rPr>
        <w:tab/>
        <w:t>In this Part, unless the context otherwise requires — </w:t>
      </w:r>
    </w:p>
    <w:p>
      <w:pPr>
        <w:pStyle w:val="Defstart"/>
        <w:spacing w:before="60"/>
      </w:pPr>
      <w:r>
        <w:rPr>
          <w:b/>
        </w:rPr>
        <w:tab/>
      </w:r>
      <w:r>
        <w:rPr>
          <w:rStyle w:val="CharDefText"/>
        </w:rPr>
        <w:t>ablutionary or sanitary caravan</w:t>
      </w:r>
      <w:r>
        <w:t xml:space="preserve"> means a structure with either fixed or retractable wheels and axles, designed for use as an ablutionary or sanitary block, so constructed as to be movable by towing and used in a construction camp;</w:t>
      </w:r>
    </w:p>
    <w:p>
      <w:pPr>
        <w:pStyle w:val="Defstart"/>
        <w:spacing w:before="60"/>
      </w:pPr>
      <w:r>
        <w:rPr>
          <w:b/>
        </w:rPr>
        <w:tab/>
      </w:r>
      <w:r>
        <w:rPr>
          <w:rStyle w:val="CharDefText"/>
        </w:rPr>
        <w:t>artificial light</w:t>
      </w:r>
      <w:r>
        <w:t xml:space="preserve"> means light sufficient to illuminate the entire room at 54 lumens per square metre of general illumination, measured on a horizontal plane 915 millimetres above the floor;</w:t>
      </w:r>
    </w:p>
    <w:p>
      <w:pPr>
        <w:pStyle w:val="Defstart"/>
        <w:spacing w:before="60"/>
      </w:pPr>
      <w:r>
        <w:rPr>
          <w:b/>
        </w:rPr>
        <w:tab/>
      </w:r>
      <w:r>
        <w:rPr>
          <w:rStyle w:val="CharDefText"/>
        </w:rPr>
        <w:t>construction camp</w:t>
      </w:r>
      <w:r>
        <w:t xml:space="preserve"> means any camp used for a duration of more than 3 months though not necessarily in the one location, for the accommodation of a work force of more than 25 persons in conjunction with — </w:t>
      </w:r>
    </w:p>
    <w:p>
      <w:pPr>
        <w:pStyle w:val="Defpara"/>
        <w:spacing w:before="60"/>
      </w:pPr>
      <w:r>
        <w:tab/>
        <w:t>(a)</w:t>
      </w:r>
      <w:r>
        <w:tab/>
        <w:t>the construction of a railway line or siding;</w:t>
      </w:r>
    </w:p>
    <w:p>
      <w:pPr>
        <w:pStyle w:val="Defpara"/>
        <w:spacing w:before="60"/>
      </w:pPr>
      <w:r>
        <w:tab/>
        <w:t>(b)</w:t>
      </w:r>
      <w:r>
        <w:tab/>
        <w:t>the construction, structural alteration or demolition of — </w:t>
      </w:r>
    </w:p>
    <w:p>
      <w:pPr>
        <w:pStyle w:val="Defsubpara"/>
        <w:spacing w:before="60"/>
      </w:pPr>
      <w:r>
        <w:tab/>
        <w:t>(i)</w:t>
      </w:r>
      <w:r>
        <w:tab/>
        <w:t>a building;</w:t>
      </w:r>
    </w:p>
    <w:p>
      <w:pPr>
        <w:pStyle w:val="Defsubpara"/>
        <w:spacing w:before="60"/>
      </w:pPr>
      <w:r>
        <w:tab/>
        <w:t>(ii)</w:t>
      </w:r>
      <w:r>
        <w:tab/>
        <w:t>a dock, wharf, jetty, pier, breakwater, tunnel, dam, viaduct, reservoir, pipeline, gasholder; and</w:t>
      </w:r>
    </w:p>
    <w:p>
      <w:pPr>
        <w:pStyle w:val="Defsubpara"/>
        <w:spacing w:before="60"/>
      </w:pPr>
      <w:r>
        <w:tab/>
        <w:t>(iii)</w:t>
      </w:r>
      <w:r>
        <w:tab/>
        <w:t>waterworks or sewerage works;</w:t>
      </w:r>
    </w:p>
    <w:p>
      <w:pPr>
        <w:pStyle w:val="Defpara"/>
        <w:spacing w:before="60"/>
      </w:pPr>
      <w:r>
        <w:tab/>
        <w:t>(c)</w:t>
      </w:r>
      <w:r>
        <w:tab/>
        <w:t>the preparation of an area for mining operations; and</w:t>
      </w:r>
    </w:p>
    <w:p>
      <w:pPr>
        <w:pStyle w:val="Defpara"/>
        <w:spacing w:before="60"/>
      </w:pPr>
      <w:r>
        <w:tab/>
        <w:t>(d)</w:t>
      </w:r>
      <w:r>
        <w:tab/>
        <w:t>any other work that requires a temporary resident work force,</w:t>
      </w:r>
    </w:p>
    <w:p>
      <w:pPr>
        <w:pStyle w:val="Defstart"/>
        <w:spacing w:before="60"/>
      </w:pPr>
      <w:r>
        <w:tab/>
        <w:t>but does not include — </w:t>
      </w:r>
    </w:p>
    <w:p>
      <w:pPr>
        <w:pStyle w:val="Defpara"/>
        <w:spacing w:before="60"/>
      </w:pPr>
      <w:r>
        <w:tab/>
        <w:t>(e)</w:t>
      </w:r>
      <w:r>
        <w:tab/>
        <w:t>camps used for defence purposes; and</w:t>
      </w:r>
    </w:p>
    <w:p>
      <w:pPr>
        <w:pStyle w:val="Defpara"/>
        <w:spacing w:before="60"/>
      </w:pPr>
      <w:r>
        <w:tab/>
        <w:t>(f)</w:t>
      </w:r>
      <w:r>
        <w:tab/>
        <w:t>wayside camps of drovers or teamsters;</w:t>
      </w:r>
    </w:p>
    <w:p>
      <w:pPr>
        <w:pStyle w:val="Defstart"/>
        <w:spacing w:before="60"/>
      </w:pPr>
      <w:r>
        <w:rPr>
          <w:b/>
        </w:rPr>
        <w:tab/>
      </w:r>
      <w:r>
        <w:rPr>
          <w:rStyle w:val="CharDefText"/>
        </w:rPr>
        <w:t>dining caravan</w:t>
      </w:r>
      <w:r>
        <w:t xml:space="preserve"> means a structure with either fixed or retractable wheels and axles, designed for use as a dining room, so constructed as to be movable by towing, and used in a construction camp;</w:t>
      </w:r>
    </w:p>
    <w:p>
      <w:pPr>
        <w:pStyle w:val="Defstart"/>
      </w:pPr>
      <w:r>
        <w:rPr>
          <w:b/>
        </w:rPr>
        <w:lastRenderedPageBreak/>
        <w:tab/>
      </w:r>
      <w:r>
        <w:rPr>
          <w:rStyle w:val="CharDefText"/>
        </w:rPr>
        <w:t>kitchen caravan</w:t>
      </w:r>
      <w:r>
        <w:t xml:space="preserve"> means a structure with either fixed or retractable wheels and axles, designed for use as a kitchen, so constructed as to be movable by towing and used in a construction camp;</w:t>
      </w:r>
    </w:p>
    <w:p>
      <w:pPr>
        <w:pStyle w:val="Defstart"/>
      </w:pPr>
      <w:r>
        <w:rPr>
          <w:b/>
        </w:rPr>
        <w:tab/>
      </w:r>
      <w:r>
        <w:rPr>
          <w:rStyle w:val="CharDefText"/>
        </w:rPr>
        <w:t>office caravan</w:t>
      </w:r>
      <w:r>
        <w:t xml:space="preserve"> means a structure with either fixed or retractable wheels and axles, designed for use as an office, so constructed as to be movable by towing, and used in a construction camp;</w:t>
      </w:r>
    </w:p>
    <w:p>
      <w:pPr>
        <w:pStyle w:val="Defstart"/>
      </w:pPr>
      <w:r>
        <w:rPr>
          <w:b/>
        </w:rPr>
        <w:tab/>
      </w:r>
      <w:r>
        <w:rPr>
          <w:rStyle w:val="CharDefText"/>
        </w:rPr>
        <w:t>residential caravan</w:t>
      </w:r>
      <w:r>
        <w:t xml:space="preserve"> means a structure with either fixed or retractable wheels and axles, designed for use as a dwelling for human occupation, so constructed as to be movable by towing, and used in a construction camp;</w:t>
      </w:r>
    </w:p>
    <w:p>
      <w:pPr>
        <w:pStyle w:val="Defstart"/>
      </w:pPr>
      <w:r>
        <w:rPr>
          <w:b/>
        </w:rPr>
        <w:tab/>
      </w:r>
      <w:r>
        <w:rPr>
          <w:rStyle w:val="CharDefText"/>
        </w:rPr>
        <w:t>sleeping caravan</w:t>
      </w:r>
      <w:r>
        <w:t xml:space="preserve"> means a structure with either fixed or retractable wheels and axles, designed for use as sleeping compartments for human occupation, so constructed as to be movable by towing, and used in a construction camp;</w:t>
      </w:r>
    </w:p>
    <w:p>
      <w:pPr>
        <w:pStyle w:val="Defstart"/>
      </w:pPr>
      <w:r>
        <w:rPr>
          <w:b/>
        </w:rPr>
        <w:tab/>
      </w:r>
      <w:r>
        <w:rPr>
          <w:rStyle w:val="CharDefText"/>
        </w:rPr>
        <w:t>toilet compartment</w:t>
      </w:r>
      <w:r>
        <w:t xml:space="preserve"> means a compartment designed to accommodate a chemical closet or a water closet used in a construction camp.</w:t>
      </w:r>
    </w:p>
    <w:p>
      <w:pPr>
        <w:pStyle w:val="Footnotesection"/>
      </w:pPr>
      <w:r>
        <w:tab/>
        <w:t xml:space="preserve">[Regulation 28 erratum: Gazette 26 Jun 1970 p. 1845; amended: Gazette 3 May 1974 p. 1429.] </w:t>
      </w:r>
    </w:p>
    <w:p>
      <w:pPr>
        <w:pStyle w:val="Heading5"/>
        <w:rPr>
          <w:snapToGrid w:val="0"/>
        </w:rPr>
      </w:pPr>
      <w:bookmarkStart w:id="37" w:name="_Toc167798644"/>
      <w:r>
        <w:rPr>
          <w:rStyle w:val="CharSectno"/>
        </w:rPr>
        <w:t>29</w:t>
      </w:r>
      <w:r>
        <w:rPr>
          <w:snapToGrid w:val="0"/>
        </w:rPr>
        <w:t>.</w:t>
      </w:r>
      <w:r>
        <w:rPr>
          <w:snapToGrid w:val="0"/>
        </w:rPr>
        <w:tab/>
        <w:t>Floor areas in residential caravans</w:t>
      </w:r>
      <w:bookmarkEnd w:id="37"/>
      <w:r>
        <w:rPr>
          <w:snapToGrid w:val="0"/>
        </w:rPr>
        <w:t xml:space="preserve"> </w:t>
      </w:r>
    </w:p>
    <w:p>
      <w:pPr>
        <w:pStyle w:val="Subsection"/>
        <w:rPr>
          <w:snapToGrid w:val="0"/>
        </w:rPr>
      </w:pPr>
      <w:r>
        <w:rPr>
          <w:snapToGrid w:val="0"/>
        </w:rPr>
        <w:tab/>
        <w:t>(1)</w:t>
      </w:r>
      <w:r>
        <w:rPr>
          <w:snapToGrid w:val="0"/>
        </w:rPr>
        <w:tab/>
        <w:t>Residential caravans shall have a floor area of not less than 7.4 square metres and the total floor area shall be ascertained from external measurements taken at a height of 460 millimetres above floor level.</w:t>
      </w:r>
    </w:p>
    <w:p>
      <w:pPr>
        <w:pStyle w:val="Subsection"/>
        <w:rPr>
          <w:snapToGrid w:val="0"/>
        </w:rPr>
      </w:pPr>
      <w:r>
        <w:rPr>
          <w:snapToGrid w:val="0"/>
        </w:rPr>
        <w:tab/>
        <w:t>(2)</w:t>
      </w:r>
      <w:r>
        <w:rPr>
          <w:snapToGrid w:val="0"/>
        </w:rPr>
        <w:tab/>
        <w:t>A floor area of 3.7 square metres per person shall be provided for each adult or child over 10 years of age.</w:t>
      </w:r>
    </w:p>
    <w:p>
      <w:pPr>
        <w:pStyle w:val="Subsection"/>
        <w:rPr>
          <w:snapToGrid w:val="0"/>
        </w:rPr>
      </w:pPr>
      <w:r>
        <w:rPr>
          <w:snapToGrid w:val="0"/>
        </w:rPr>
        <w:tab/>
        <w:t>(3)</w:t>
      </w:r>
      <w:r>
        <w:rPr>
          <w:snapToGrid w:val="0"/>
        </w:rPr>
        <w:tab/>
        <w:t>A floor area of 1.85 square metres shall be provided for each of the first 2 children under 10 years of age and 3.7 square metres each for any children under 10 years of age in excess of 2.</w:t>
      </w:r>
    </w:p>
    <w:p>
      <w:pPr>
        <w:pStyle w:val="Footnotesection"/>
      </w:pPr>
      <w:r>
        <w:tab/>
        <w:t xml:space="preserve">[Regulation 29 amended: Gazette 16 Dec 1971 p. 5225; 3 May 1974 p. 1429.] </w:t>
      </w:r>
    </w:p>
    <w:p>
      <w:pPr>
        <w:pStyle w:val="Heading5"/>
        <w:rPr>
          <w:snapToGrid w:val="0"/>
        </w:rPr>
      </w:pPr>
      <w:bookmarkStart w:id="38" w:name="_Toc167798645"/>
      <w:r>
        <w:rPr>
          <w:rStyle w:val="CharSectno"/>
        </w:rPr>
        <w:lastRenderedPageBreak/>
        <w:t>30</w:t>
      </w:r>
      <w:r>
        <w:rPr>
          <w:snapToGrid w:val="0"/>
        </w:rPr>
        <w:t>.</w:t>
      </w:r>
      <w:r>
        <w:rPr>
          <w:snapToGrid w:val="0"/>
        </w:rPr>
        <w:tab/>
        <w:t>Ceiling heights in residential caravans</w:t>
      </w:r>
      <w:bookmarkEnd w:id="38"/>
      <w:r>
        <w:rPr>
          <w:snapToGrid w:val="0"/>
        </w:rPr>
        <w:t xml:space="preserve"> </w:t>
      </w:r>
    </w:p>
    <w:p>
      <w:pPr>
        <w:pStyle w:val="Subsection"/>
        <w:rPr>
          <w:snapToGrid w:val="0"/>
        </w:rPr>
      </w:pPr>
      <w:r>
        <w:rPr>
          <w:snapToGrid w:val="0"/>
        </w:rPr>
        <w:tab/>
      </w:r>
      <w:r>
        <w:rPr>
          <w:snapToGrid w:val="0"/>
        </w:rPr>
        <w:tab/>
        <w:t>The average ceiling height of a residential caravan shall not be less than 1.93 metres.</w:t>
      </w:r>
    </w:p>
    <w:p>
      <w:pPr>
        <w:pStyle w:val="Footnotesection"/>
      </w:pPr>
      <w:r>
        <w:tab/>
        <w:t xml:space="preserve">[Regulation 30 amended: Gazette 20 Apr 1971 p. 1189; 16 Dec 1971 p. 5225; 3 May 1974 p. 1429.] </w:t>
      </w:r>
    </w:p>
    <w:p>
      <w:pPr>
        <w:pStyle w:val="Heading5"/>
        <w:rPr>
          <w:snapToGrid w:val="0"/>
        </w:rPr>
      </w:pPr>
      <w:bookmarkStart w:id="39" w:name="_Toc167798646"/>
      <w:r>
        <w:rPr>
          <w:rStyle w:val="CharSectno"/>
        </w:rPr>
        <w:t>31</w:t>
      </w:r>
      <w:r>
        <w:rPr>
          <w:snapToGrid w:val="0"/>
        </w:rPr>
        <w:t>.</w:t>
      </w:r>
      <w:r>
        <w:rPr>
          <w:snapToGrid w:val="0"/>
        </w:rPr>
        <w:tab/>
        <w:t>Toilet compartments in relation to food preparation</w:t>
      </w:r>
      <w:bookmarkEnd w:id="39"/>
      <w:r>
        <w:rPr>
          <w:snapToGrid w:val="0"/>
        </w:rPr>
        <w:t xml:space="preserve"> </w:t>
      </w:r>
    </w:p>
    <w:p>
      <w:pPr>
        <w:pStyle w:val="Subsection"/>
        <w:rPr>
          <w:snapToGrid w:val="0"/>
        </w:rPr>
      </w:pPr>
      <w:r>
        <w:rPr>
          <w:snapToGrid w:val="0"/>
        </w:rPr>
        <w:tab/>
      </w:r>
      <w:r>
        <w:rPr>
          <w:snapToGrid w:val="0"/>
        </w:rPr>
        <w:tab/>
        <w:t>A toilet compartment shall not open directly into that part of a caravan used for food preparation.</w:t>
      </w:r>
    </w:p>
    <w:p>
      <w:pPr>
        <w:pStyle w:val="Heading5"/>
        <w:rPr>
          <w:snapToGrid w:val="0"/>
        </w:rPr>
      </w:pPr>
      <w:bookmarkStart w:id="40" w:name="_Toc167798647"/>
      <w:r>
        <w:rPr>
          <w:rStyle w:val="CharSectno"/>
        </w:rPr>
        <w:t>32</w:t>
      </w:r>
      <w:r>
        <w:rPr>
          <w:snapToGrid w:val="0"/>
        </w:rPr>
        <w:t>.</w:t>
      </w:r>
      <w:r>
        <w:rPr>
          <w:snapToGrid w:val="0"/>
        </w:rPr>
        <w:tab/>
        <w:t>Separate sleeping compartments</w:t>
      </w:r>
      <w:bookmarkEnd w:id="40"/>
      <w:r>
        <w:rPr>
          <w:snapToGrid w:val="0"/>
        </w:rPr>
        <w:t xml:space="preserve"> </w:t>
      </w:r>
    </w:p>
    <w:p>
      <w:pPr>
        <w:pStyle w:val="Subsection"/>
        <w:rPr>
          <w:snapToGrid w:val="0"/>
        </w:rPr>
      </w:pPr>
      <w:r>
        <w:rPr>
          <w:snapToGrid w:val="0"/>
        </w:rPr>
        <w:tab/>
        <w:t>(1)</w:t>
      </w:r>
      <w:r>
        <w:rPr>
          <w:snapToGrid w:val="0"/>
        </w:rPr>
        <w:tab/>
        <w:t>Except for married couples</w:t>
      </w:r>
      <w:r>
        <w:t>, de facto partners and</w:t>
      </w:r>
      <w:r>
        <w:rPr>
          <w:snapToGrid w:val="0"/>
        </w:rPr>
        <w:t xml:space="preserve"> children under 10 years of age, there shall be separate sleeping compartments for males and females.</w:t>
      </w:r>
    </w:p>
    <w:p>
      <w:pPr>
        <w:pStyle w:val="Subsection"/>
        <w:rPr>
          <w:snapToGrid w:val="0"/>
        </w:rPr>
      </w:pPr>
      <w:r>
        <w:rPr>
          <w:snapToGrid w:val="0"/>
        </w:rPr>
        <w:tab/>
        <w:t>(2)</w:t>
      </w:r>
      <w:r>
        <w:rPr>
          <w:snapToGrid w:val="0"/>
        </w:rPr>
        <w:tab/>
        <w:t>Every sleeping compartment for an adult shall be at least 1.9 metres in one plan dimension.</w:t>
      </w:r>
    </w:p>
    <w:p>
      <w:pPr>
        <w:pStyle w:val="Footnotesection"/>
      </w:pPr>
      <w:r>
        <w:tab/>
        <w:t xml:space="preserve">[Regulation 32 amended: Gazette 3 May 1974 p. 1429; 30 Jun 2003 p. 2598.] </w:t>
      </w:r>
    </w:p>
    <w:p>
      <w:pPr>
        <w:pStyle w:val="Heading5"/>
        <w:rPr>
          <w:snapToGrid w:val="0"/>
        </w:rPr>
      </w:pPr>
      <w:bookmarkStart w:id="41" w:name="_Toc167798648"/>
      <w:r>
        <w:rPr>
          <w:rStyle w:val="CharSectno"/>
        </w:rPr>
        <w:t>33</w:t>
      </w:r>
      <w:r>
        <w:rPr>
          <w:snapToGrid w:val="0"/>
        </w:rPr>
        <w:t>.</w:t>
      </w:r>
      <w:r>
        <w:rPr>
          <w:snapToGrid w:val="0"/>
        </w:rPr>
        <w:tab/>
        <w:t>Sleeping compartment dimensions</w:t>
      </w:r>
      <w:bookmarkEnd w:id="41"/>
      <w:r>
        <w:rPr>
          <w:snapToGrid w:val="0"/>
        </w:rPr>
        <w:t xml:space="preserve"> </w:t>
      </w:r>
    </w:p>
    <w:p>
      <w:pPr>
        <w:pStyle w:val="Subsection"/>
        <w:rPr>
          <w:snapToGrid w:val="0"/>
        </w:rPr>
      </w:pPr>
      <w:r>
        <w:rPr>
          <w:snapToGrid w:val="0"/>
        </w:rPr>
        <w:tab/>
        <w:t>(1)</w:t>
      </w:r>
      <w:r>
        <w:rPr>
          <w:snapToGrid w:val="0"/>
        </w:rPr>
        <w:tab/>
        <w:t>The dimensions of each sleeping compartment shall be such that there is 5 cubic metres for each person intended to be accommodated therein.</w:t>
      </w:r>
    </w:p>
    <w:p>
      <w:pPr>
        <w:pStyle w:val="Subsection"/>
        <w:rPr>
          <w:snapToGrid w:val="0"/>
        </w:rPr>
      </w:pPr>
      <w:r>
        <w:rPr>
          <w:snapToGrid w:val="0"/>
        </w:rPr>
        <w:tab/>
        <w:t>(2)</w:t>
      </w:r>
      <w:r>
        <w:rPr>
          <w:snapToGrid w:val="0"/>
        </w:rPr>
        <w:tab/>
        <w:t>Each sleeping compartment shall have a locker or wardrobe for storage of clothes.</w:t>
      </w:r>
    </w:p>
    <w:p>
      <w:pPr>
        <w:pStyle w:val="Footnotesection"/>
      </w:pPr>
      <w:r>
        <w:tab/>
        <w:t xml:space="preserve">[Regulation 33 amended: Gazette 3 May 1974 p. 1429.] </w:t>
      </w:r>
    </w:p>
    <w:p>
      <w:pPr>
        <w:pStyle w:val="Heading5"/>
        <w:rPr>
          <w:snapToGrid w:val="0"/>
        </w:rPr>
      </w:pPr>
      <w:bookmarkStart w:id="42" w:name="_Toc167798649"/>
      <w:r>
        <w:rPr>
          <w:rStyle w:val="CharSectno"/>
        </w:rPr>
        <w:t>34</w:t>
      </w:r>
      <w:r>
        <w:rPr>
          <w:snapToGrid w:val="0"/>
        </w:rPr>
        <w:t>.</w:t>
      </w:r>
      <w:r>
        <w:rPr>
          <w:snapToGrid w:val="0"/>
        </w:rPr>
        <w:tab/>
        <w:t>Fly wire</w:t>
      </w:r>
      <w:bookmarkEnd w:id="42"/>
      <w:r>
        <w:rPr>
          <w:snapToGrid w:val="0"/>
        </w:rPr>
        <w:t xml:space="preserve"> </w:t>
      </w:r>
    </w:p>
    <w:p>
      <w:pPr>
        <w:pStyle w:val="Subsection"/>
        <w:rPr>
          <w:snapToGrid w:val="0"/>
        </w:rPr>
      </w:pPr>
      <w:r>
        <w:rPr>
          <w:snapToGrid w:val="0"/>
        </w:rPr>
        <w:tab/>
      </w:r>
      <w:r>
        <w:rPr>
          <w:snapToGrid w:val="0"/>
        </w:rPr>
        <w:tab/>
        <w:t>The windows, doorways and other openings in dining and kitchen caravans shall be screened with fine mesh to exclude the ingress of flies and other insects.</w:t>
      </w:r>
    </w:p>
    <w:p>
      <w:pPr>
        <w:pStyle w:val="Heading5"/>
        <w:rPr>
          <w:snapToGrid w:val="0"/>
        </w:rPr>
      </w:pPr>
      <w:bookmarkStart w:id="43" w:name="_Toc167798650"/>
      <w:r>
        <w:rPr>
          <w:rStyle w:val="CharSectno"/>
        </w:rPr>
        <w:lastRenderedPageBreak/>
        <w:t>35</w:t>
      </w:r>
      <w:r>
        <w:rPr>
          <w:snapToGrid w:val="0"/>
        </w:rPr>
        <w:t>.</w:t>
      </w:r>
      <w:r>
        <w:rPr>
          <w:snapToGrid w:val="0"/>
        </w:rPr>
        <w:tab/>
        <w:t>Dining caravans</w:t>
      </w:r>
      <w:bookmarkEnd w:id="43"/>
      <w:r>
        <w:rPr>
          <w:snapToGrid w:val="0"/>
        </w:rPr>
        <w:t xml:space="preserve"> </w:t>
      </w:r>
    </w:p>
    <w:p>
      <w:pPr>
        <w:pStyle w:val="Subsection"/>
        <w:spacing w:before="140"/>
        <w:rPr>
          <w:snapToGrid w:val="0"/>
        </w:rPr>
      </w:pPr>
      <w:r>
        <w:rPr>
          <w:snapToGrid w:val="0"/>
        </w:rPr>
        <w:tab/>
      </w:r>
      <w:r>
        <w:rPr>
          <w:snapToGrid w:val="0"/>
        </w:rPr>
        <w:tab/>
        <w:t>Every dining caravan shall have — </w:t>
      </w:r>
    </w:p>
    <w:p>
      <w:pPr>
        <w:pStyle w:val="Indenta"/>
        <w:spacing w:before="70"/>
        <w:rPr>
          <w:snapToGrid w:val="0"/>
        </w:rPr>
      </w:pPr>
      <w:r>
        <w:rPr>
          <w:snapToGrid w:val="0"/>
        </w:rPr>
        <w:tab/>
        <w:t>(a)</w:t>
      </w:r>
      <w:r>
        <w:rPr>
          <w:snapToGrid w:val="0"/>
        </w:rPr>
        <w:tab/>
        <w:t>tables with a smooth impervious washable surface; and</w:t>
      </w:r>
    </w:p>
    <w:p>
      <w:pPr>
        <w:pStyle w:val="Indenta"/>
        <w:spacing w:before="70"/>
        <w:rPr>
          <w:snapToGrid w:val="0"/>
        </w:rPr>
      </w:pPr>
      <w:r>
        <w:rPr>
          <w:snapToGrid w:val="0"/>
        </w:rPr>
        <w:tab/>
        <w:t>(b)</w:t>
      </w:r>
      <w:r>
        <w:rPr>
          <w:snapToGrid w:val="0"/>
        </w:rPr>
        <w:tab/>
        <w:t>at least 560 millimetres of space at a dining table for every person it accommodates.</w:t>
      </w:r>
    </w:p>
    <w:p>
      <w:pPr>
        <w:pStyle w:val="Footnotesection"/>
      </w:pPr>
      <w:r>
        <w:tab/>
        <w:t xml:space="preserve">[Regulation 35 amended: Gazette 3 May 1974 p. 1429.] </w:t>
      </w:r>
    </w:p>
    <w:p>
      <w:pPr>
        <w:pStyle w:val="Heading5"/>
        <w:rPr>
          <w:snapToGrid w:val="0"/>
        </w:rPr>
      </w:pPr>
      <w:bookmarkStart w:id="44" w:name="_Toc167798651"/>
      <w:r>
        <w:rPr>
          <w:rStyle w:val="CharSectno"/>
        </w:rPr>
        <w:t>36</w:t>
      </w:r>
      <w:r>
        <w:rPr>
          <w:snapToGrid w:val="0"/>
        </w:rPr>
        <w:t>.</w:t>
      </w:r>
      <w:r>
        <w:rPr>
          <w:snapToGrid w:val="0"/>
        </w:rPr>
        <w:tab/>
        <w:t>Kitchen caravans</w:t>
      </w:r>
      <w:bookmarkEnd w:id="44"/>
      <w:r>
        <w:rPr>
          <w:snapToGrid w:val="0"/>
        </w:rPr>
        <w:t xml:space="preserve"> </w:t>
      </w:r>
    </w:p>
    <w:p>
      <w:pPr>
        <w:pStyle w:val="Subsection"/>
        <w:spacing w:before="140"/>
        <w:rPr>
          <w:snapToGrid w:val="0"/>
        </w:rPr>
      </w:pPr>
      <w:r>
        <w:rPr>
          <w:snapToGrid w:val="0"/>
        </w:rPr>
        <w:tab/>
        <w:t>(1)</w:t>
      </w:r>
      <w:r>
        <w:rPr>
          <w:snapToGrid w:val="0"/>
        </w:rPr>
        <w:tab/>
        <w:t>Every kitchen caravan shall be equipped with — </w:t>
      </w:r>
    </w:p>
    <w:p>
      <w:pPr>
        <w:pStyle w:val="Indenta"/>
        <w:spacing w:before="70"/>
        <w:rPr>
          <w:snapToGrid w:val="0"/>
        </w:rPr>
      </w:pPr>
      <w:r>
        <w:rPr>
          <w:snapToGrid w:val="0"/>
        </w:rPr>
        <w:tab/>
        <w:t>(a)</w:t>
      </w:r>
      <w:r>
        <w:rPr>
          <w:snapToGrid w:val="0"/>
        </w:rPr>
        <w:tab/>
        <w:t>cooking facilities complying with regulation 44(d);</w:t>
      </w:r>
    </w:p>
    <w:p>
      <w:pPr>
        <w:pStyle w:val="Indenta"/>
        <w:spacing w:before="70"/>
        <w:rPr>
          <w:snapToGrid w:val="0"/>
        </w:rPr>
      </w:pPr>
      <w:r>
        <w:rPr>
          <w:snapToGrid w:val="0"/>
        </w:rPr>
        <w:tab/>
        <w:t>(b)</w:t>
      </w:r>
      <w:r>
        <w:rPr>
          <w:snapToGrid w:val="0"/>
        </w:rPr>
        <w:tab/>
        <w:t>a double bowl stainless steel sink for dish</w:t>
      </w:r>
      <w:r>
        <w:rPr>
          <w:snapToGrid w:val="0"/>
        </w:rPr>
        <w:noBreakHyphen/>
        <w:t>washing;</w:t>
      </w:r>
    </w:p>
    <w:p>
      <w:pPr>
        <w:pStyle w:val="Indenta"/>
        <w:spacing w:before="70"/>
        <w:rPr>
          <w:snapToGrid w:val="0"/>
        </w:rPr>
      </w:pPr>
      <w:r>
        <w:rPr>
          <w:snapToGrid w:val="0"/>
        </w:rPr>
        <w:tab/>
        <w:t>(c)</w:t>
      </w:r>
      <w:r>
        <w:rPr>
          <w:snapToGrid w:val="0"/>
        </w:rPr>
        <w:tab/>
        <w:t>a handbasin supplied with hot and cold water, soap, nail</w:t>
      </w:r>
      <w:r>
        <w:rPr>
          <w:snapToGrid w:val="0"/>
        </w:rPr>
        <w:noBreakHyphen/>
        <w:t>brush and disposable paper towels;</w:t>
      </w:r>
    </w:p>
    <w:p>
      <w:pPr>
        <w:pStyle w:val="Indenta"/>
        <w:spacing w:before="70"/>
        <w:rPr>
          <w:snapToGrid w:val="0"/>
        </w:rPr>
      </w:pPr>
      <w:r>
        <w:rPr>
          <w:snapToGrid w:val="0"/>
        </w:rPr>
        <w:tab/>
        <w:t>(d)</w:t>
      </w:r>
      <w:r>
        <w:rPr>
          <w:snapToGrid w:val="0"/>
        </w:rPr>
        <w:tab/>
        <w:t>food preparation tables or benches with a smooth impervious washable surface;</w:t>
      </w:r>
    </w:p>
    <w:p>
      <w:pPr>
        <w:pStyle w:val="Indenta"/>
        <w:spacing w:before="70"/>
        <w:rPr>
          <w:snapToGrid w:val="0"/>
        </w:rPr>
      </w:pPr>
      <w:r>
        <w:rPr>
          <w:snapToGrid w:val="0"/>
        </w:rPr>
        <w:tab/>
        <w:t>(e)</w:t>
      </w:r>
      <w:r>
        <w:rPr>
          <w:snapToGrid w:val="0"/>
        </w:rPr>
        <w:tab/>
        <w:t>adequate refrigeration storage for keeping perishable foods;</w:t>
      </w:r>
    </w:p>
    <w:p>
      <w:pPr>
        <w:pStyle w:val="Indenta"/>
        <w:spacing w:before="70"/>
        <w:rPr>
          <w:snapToGrid w:val="0"/>
        </w:rPr>
      </w:pPr>
      <w:r>
        <w:rPr>
          <w:snapToGrid w:val="0"/>
        </w:rPr>
        <w:tab/>
        <w:t>(f)</w:t>
      </w:r>
      <w:r>
        <w:rPr>
          <w:snapToGrid w:val="0"/>
        </w:rPr>
        <w:tab/>
        <w:t>a sufficient number of rubbish receptacles with a smooth impervious surface and tight fitting lid, for the reception of food scraps; and</w:t>
      </w:r>
    </w:p>
    <w:p>
      <w:pPr>
        <w:pStyle w:val="Indenta"/>
        <w:spacing w:before="70"/>
        <w:rPr>
          <w:snapToGrid w:val="0"/>
        </w:rPr>
      </w:pPr>
      <w:r>
        <w:rPr>
          <w:snapToGrid w:val="0"/>
        </w:rPr>
        <w:tab/>
        <w:t>(g)</w:t>
      </w:r>
      <w:r>
        <w:rPr>
          <w:snapToGrid w:val="0"/>
        </w:rPr>
        <w:tab/>
        <w:t>artificial light.</w:t>
      </w:r>
    </w:p>
    <w:p>
      <w:pPr>
        <w:pStyle w:val="Subsection"/>
        <w:spacing w:before="140"/>
        <w:rPr>
          <w:snapToGrid w:val="0"/>
        </w:rPr>
      </w:pPr>
      <w:r>
        <w:rPr>
          <w:snapToGrid w:val="0"/>
        </w:rPr>
        <w:tab/>
        <w:t>(2)</w:t>
      </w:r>
      <w:r>
        <w:rPr>
          <w:snapToGrid w:val="0"/>
        </w:rPr>
        <w:tab/>
        <w:t>Food in a kitchen caravan not being prepared and not in a refrigerator shall be kept in fly proof cupboards or containers.</w:t>
      </w:r>
    </w:p>
    <w:p>
      <w:pPr>
        <w:pStyle w:val="Heading5"/>
        <w:rPr>
          <w:snapToGrid w:val="0"/>
        </w:rPr>
      </w:pPr>
      <w:bookmarkStart w:id="45" w:name="_Toc167798652"/>
      <w:r>
        <w:rPr>
          <w:rStyle w:val="CharSectno"/>
        </w:rPr>
        <w:t>37</w:t>
      </w:r>
      <w:r>
        <w:rPr>
          <w:snapToGrid w:val="0"/>
        </w:rPr>
        <w:t>.</w:t>
      </w:r>
      <w:r>
        <w:rPr>
          <w:snapToGrid w:val="0"/>
        </w:rPr>
        <w:tab/>
        <w:t>Office caravan</w:t>
      </w:r>
      <w:bookmarkEnd w:id="45"/>
      <w:r>
        <w:rPr>
          <w:snapToGrid w:val="0"/>
        </w:rPr>
        <w:t xml:space="preserve"> </w:t>
      </w:r>
    </w:p>
    <w:p>
      <w:pPr>
        <w:pStyle w:val="Subsection"/>
        <w:spacing w:before="140"/>
        <w:rPr>
          <w:snapToGrid w:val="0"/>
        </w:rPr>
      </w:pPr>
      <w:r>
        <w:rPr>
          <w:snapToGrid w:val="0"/>
        </w:rPr>
        <w:tab/>
      </w:r>
      <w:r>
        <w:rPr>
          <w:snapToGrid w:val="0"/>
        </w:rPr>
        <w:tab/>
        <w:t>In addition to office fittings, an office caravan may be fitted with a separate sleeping compartment complying with the requirements set out in regulation 33.</w:t>
      </w:r>
    </w:p>
    <w:p>
      <w:pPr>
        <w:pStyle w:val="Heading5"/>
        <w:rPr>
          <w:snapToGrid w:val="0"/>
        </w:rPr>
      </w:pPr>
      <w:bookmarkStart w:id="46" w:name="_Toc167798653"/>
      <w:r>
        <w:rPr>
          <w:rStyle w:val="CharSectno"/>
        </w:rPr>
        <w:lastRenderedPageBreak/>
        <w:t>38</w:t>
      </w:r>
      <w:r>
        <w:rPr>
          <w:snapToGrid w:val="0"/>
        </w:rPr>
        <w:t>.</w:t>
      </w:r>
      <w:r>
        <w:rPr>
          <w:snapToGrid w:val="0"/>
        </w:rPr>
        <w:tab/>
        <w:t>Ablutionary and sanitary caravans</w:t>
      </w:r>
      <w:bookmarkEnd w:id="46"/>
      <w:r>
        <w:rPr>
          <w:snapToGrid w:val="0"/>
        </w:rPr>
        <w:t xml:space="preserve"> </w:t>
      </w:r>
    </w:p>
    <w:p>
      <w:pPr>
        <w:pStyle w:val="Subsection"/>
        <w:spacing w:before="140"/>
        <w:rPr>
          <w:snapToGrid w:val="0"/>
        </w:rPr>
      </w:pPr>
      <w:r>
        <w:rPr>
          <w:snapToGrid w:val="0"/>
        </w:rPr>
        <w:tab/>
        <w:t>(1)</w:t>
      </w:r>
      <w:r>
        <w:rPr>
          <w:snapToGrid w:val="0"/>
        </w:rPr>
        <w:tab/>
        <w:t>Where no fixed ablutionary and sanitary facilities are provided in a construction camp, ablutionary and sanitary caravans shall be used.</w:t>
      </w:r>
    </w:p>
    <w:p>
      <w:pPr>
        <w:pStyle w:val="Subsection"/>
        <w:rPr>
          <w:snapToGrid w:val="0"/>
        </w:rPr>
      </w:pPr>
      <w:r>
        <w:rPr>
          <w:snapToGrid w:val="0"/>
        </w:rPr>
        <w:tab/>
        <w:t>(2)</w:t>
      </w:r>
      <w:r>
        <w:rPr>
          <w:snapToGrid w:val="0"/>
        </w:rPr>
        <w:tab/>
        <w:t>Ablutionary and sanitary caravans shall be fitted with water closets or chemical closets, showers, and wash basins in accordance with the requirements of regulation 23.</w:t>
      </w:r>
    </w:p>
    <w:p>
      <w:pPr>
        <w:pStyle w:val="Subsection"/>
        <w:rPr>
          <w:snapToGrid w:val="0"/>
        </w:rPr>
      </w:pPr>
      <w:r>
        <w:rPr>
          <w:snapToGrid w:val="0"/>
        </w:rPr>
        <w:tab/>
        <w:t>(3)</w:t>
      </w:r>
      <w:r>
        <w:rPr>
          <w:snapToGrid w:val="0"/>
        </w:rPr>
        <w:tab/>
        <w:t>All plumbing fixtures and fittings shall be in accordance with the</w:t>
      </w:r>
      <w:r>
        <w:t xml:space="preserve"> requirements and standards applicable under the </w:t>
      </w:r>
      <w:r>
        <w:rPr>
          <w:i/>
        </w:rPr>
        <w:t>Water Services Act 2012</w:t>
      </w:r>
      <w:r>
        <w:t xml:space="preserve"> and the </w:t>
      </w:r>
      <w:r>
        <w:rPr>
          <w:i/>
        </w:rPr>
        <w:t>Plumbers Licensing and Plumbing Standards Regulations 2000</w:t>
      </w:r>
      <w:r>
        <w:t>.</w:t>
      </w:r>
    </w:p>
    <w:p>
      <w:pPr>
        <w:pStyle w:val="Subsection"/>
        <w:rPr>
          <w:snapToGrid w:val="0"/>
        </w:rPr>
      </w:pPr>
      <w:r>
        <w:rPr>
          <w:snapToGrid w:val="0"/>
        </w:rPr>
        <w:tab/>
        <w:t>(4)</w:t>
      </w:r>
      <w:r>
        <w:rPr>
          <w:snapToGrid w:val="0"/>
        </w:rPr>
        <w:tab/>
        <w:t>Provision shall be made on the outlets of wash basins and showers for connection to an external method of liquid waste disposal.</w:t>
      </w:r>
    </w:p>
    <w:p>
      <w:pPr>
        <w:pStyle w:val="Footnotesection"/>
      </w:pPr>
      <w:r>
        <w:tab/>
        <w:t xml:space="preserve">[Regulation 38 amended: Gazette 18 Nov 1970 p. 3587; 14 Nov 2013 p. 5032.] </w:t>
      </w:r>
    </w:p>
    <w:p>
      <w:pPr>
        <w:pStyle w:val="Heading5"/>
        <w:rPr>
          <w:snapToGrid w:val="0"/>
        </w:rPr>
      </w:pPr>
      <w:bookmarkStart w:id="47" w:name="_Toc167798654"/>
      <w:r>
        <w:rPr>
          <w:rStyle w:val="CharSectno"/>
        </w:rPr>
        <w:t>39</w:t>
      </w:r>
      <w:r>
        <w:rPr>
          <w:snapToGrid w:val="0"/>
        </w:rPr>
        <w:t>.</w:t>
      </w:r>
      <w:r>
        <w:rPr>
          <w:snapToGrid w:val="0"/>
        </w:rPr>
        <w:tab/>
        <w:t>Materials used in caravan construction</w:t>
      </w:r>
      <w:bookmarkEnd w:id="47"/>
      <w:r>
        <w:rPr>
          <w:snapToGrid w:val="0"/>
        </w:rPr>
        <w:t xml:space="preserve"> </w:t>
      </w:r>
    </w:p>
    <w:p>
      <w:pPr>
        <w:pStyle w:val="Subsection"/>
        <w:rPr>
          <w:snapToGrid w:val="0"/>
        </w:rPr>
      </w:pPr>
      <w:r>
        <w:rPr>
          <w:snapToGrid w:val="0"/>
        </w:rPr>
        <w:tab/>
        <w:t>(1)</w:t>
      </w:r>
      <w:r>
        <w:rPr>
          <w:snapToGrid w:val="0"/>
        </w:rPr>
        <w:tab/>
        <w:t>All materials used in the construction of a caravan to which these regulations apply shall be of a suitable nature and quality for the purposes for which they are used and the methods of using the materials shall be according to accepted practice in the trade.</w:t>
      </w:r>
    </w:p>
    <w:p>
      <w:pPr>
        <w:pStyle w:val="Subsection"/>
        <w:rPr>
          <w:snapToGrid w:val="0"/>
        </w:rPr>
      </w:pPr>
      <w:r>
        <w:rPr>
          <w:snapToGrid w:val="0"/>
        </w:rPr>
        <w:tab/>
        <w:t>(2)</w:t>
      </w:r>
      <w:r>
        <w:rPr>
          <w:snapToGrid w:val="0"/>
        </w:rPr>
        <w:tab/>
        <w:t>The materials used for the construction of the outer skin of a caravan used in a construction camp, shall not be inferior to those faces on which the effective spread of flames neither exceeds 305 millimetres during the first 1½ minutes, nor exceed 840 millimetres after 10 minutes.</w:t>
      </w:r>
    </w:p>
    <w:p>
      <w:pPr>
        <w:pStyle w:val="Footnotesection"/>
      </w:pPr>
      <w:r>
        <w:tab/>
        <w:t xml:space="preserve">[Regulation 39 amended: Gazette 3 May 1974 p. 1430.] </w:t>
      </w:r>
    </w:p>
    <w:p>
      <w:pPr>
        <w:pStyle w:val="Heading5"/>
        <w:rPr>
          <w:snapToGrid w:val="0"/>
        </w:rPr>
      </w:pPr>
      <w:bookmarkStart w:id="48" w:name="_Toc167798655"/>
      <w:r>
        <w:rPr>
          <w:rStyle w:val="CharSectno"/>
        </w:rPr>
        <w:lastRenderedPageBreak/>
        <w:t>40</w:t>
      </w:r>
      <w:r>
        <w:rPr>
          <w:snapToGrid w:val="0"/>
        </w:rPr>
        <w:t>.</w:t>
      </w:r>
      <w:r>
        <w:rPr>
          <w:snapToGrid w:val="0"/>
        </w:rPr>
        <w:tab/>
        <w:t>Internal linings</w:t>
      </w:r>
      <w:bookmarkEnd w:id="48"/>
      <w:r>
        <w:rPr>
          <w:snapToGrid w:val="0"/>
        </w:rPr>
        <w:t xml:space="preserve"> </w:t>
      </w:r>
    </w:p>
    <w:p>
      <w:pPr>
        <w:pStyle w:val="Subsection"/>
        <w:rPr>
          <w:snapToGrid w:val="0"/>
        </w:rPr>
      </w:pPr>
      <w:r>
        <w:rPr>
          <w:snapToGrid w:val="0"/>
        </w:rPr>
        <w:tab/>
        <w:t>(1)</w:t>
      </w:r>
      <w:r>
        <w:rPr>
          <w:snapToGrid w:val="0"/>
        </w:rPr>
        <w:tab/>
        <w:t>In a caravan used in a construction camp, the requirements for internal linings adjacent to any appliance which gives off heat shall be in accordance with the following standards — </w:t>
      </w:r>
    </w:p>
    <w:p>
      <w:pPr>
        <w:pStyle w:val="Indenta"/>
        <w:rPr>
          <w:snapToGrid w:val="0"/>
        </w:rPr>
      </w:pPr>
      <w:r>
        <w:rPr>
          <w:snapToGrid w:val="0"/>
        </w:rPr>
        <w:tab/>
        <w:t>(a)</w:t>
      </w:r>
      <w:r>
        <w:rPr>
          <w:snapToGrid w:val="0"/>
        </w:rPr>
        <w:tab/>
        <w:t>for solid fuel appliances B.S. Code of Practice CP. 340;</w:t>
      </w:r>
    </w:p>
    <w:p>
      <w:pPr>
        <w:pStyle w:val="Indenta"/>
        <w:rPr>
          <w:snapToGrid w:val="0"/>
        </w:rPr>
      </w:pPr>
      <w:r>
        <w:rPr>
          <w:snapToGrid w:val="0"/>
        </w:rPr>
        <w:tab/>
        <w:t>(b)</w:t>
      </w:r>
      <w:r>
        <w:rPr>
          <w:snapToGrid w:val="0"/>
        </w:rPr>
        <w:tab/>
        <w:t>for butane or propane gas Australian Standard CB20</w:t>
      </w:r>
      <w:r>
        <w:rPr>
          <w:snapToGrid w:val="0"/>
        </w:rPr>
        <w:noBreakHyphen/>
        <w:t>1971 S.A.A. L.P. Gas Code; and</w:t>
      </w:r>
    </w:p>
    <w:p>
      <w:pPr>
        <w:pStyle w:val="Indenta"/>
        <w:rPr>
          <w:snapToGrid w:val="0"/>
        </w:rPr>
      </w:pPr>
      <w:r>
        <w:rPr>
          <w:snapToGrid w:val="0"/>
        </w:rPr>
        <w:tab/>
        <w:t>(c)</w:t>
      </w:r>
      <w:r>
        <w:rPr>
          <w:snapToGrid w:val="0"/>
        </w:rPr>
        <w:tab/>
        <w:t>for electricity S.A.A. Code C.C.7.</w:t>
      </w:r>
    </w:p>
    <w:p>
      <w:pPr>
        <w:pStyle w:val="Subsection"/>
        <w:rPr>
          <w:snapToGrid w:val="0"/>
        </w:rPr>
      </w:pPr>
      <w:r>
        <w:rPr>
          <w:snapToGrid w:val="0"/>
        </w:rPr>
        <w:tab/>
        <w:t>(2)</w:t>
      </w:r>
      <w:r>
        <w:rPr>
          <w:snapToGrid w:val="0"/>
        </w:rPr>
        <w:tab/>
        <w:t>Linings not referred to in subregulation (1) shall be in accordance with the Code of Practice and linings outside the areas of the Code of Practice shall, when finished, have surfaces not inferior to that required for the outer skin by regulation 39 and finishes based on nitrocellulose shall not be used.</w:t>
      </w:r>
    </w:p>
    <w:p>
      <w:pPr>
        <w:pStyle w:val="Footnotesection"/>
      </w:pPr>
      <w:r>
        <w:tab/>
        <w:t xml:space="preserve">[Regulation 40 amended: Gazette 16 Dec 1971 p. 5225.] </w:t>
      </w:r>
    </w:p>
    <w:p>
      <w:pPr>
        <w:pStyle w:val="Heading5"/>
        <w:rPr>
          <w:snapToGrid w:val="0"/>
        </w:rPr>
      </w:pPr>
      <w:bookmarkStart w:id="49" w:name="_Toc167798656"/>
      <w:r>
        <w:rPr>
          <w:rStyle w:val="CharSectno"/>
        </w:rPr>
        <w:t>41</w:t>
      </w:r>
      <w:r>
        <w:rPr>
          <w:snapToGrid w:val="0"/>
        </w:rPr>
        <w:t>.</w:t>
      </w:r>
      <w:r>
        <w:rPr>
          <w:snapToGrid w:val="0"/>
        </w:rPr>
        <w:tab/>
        <w:t>Design and construction</w:t>
      </w:r>
      <w:bookmarkEnd w:id="49"/>
      <w:r>
        <w:rPr>
          <w:snapToGrid w:val="0"/>
        </w:rPr>
        <w:t xml:space="preserve"> </w:t>
      </w:r>
    </w:p>
    <w:p>
      <w:pPr>
        <w:pStyle w:val="Subsection"/>
        <w:rPr>
          <w:snapToGrid w:val="0"/>
        </w:rPr>
      </w:pPr>
      <w:r>
        <w:rPr>
          <w:snapToGrid w:val="0"/>
        </w:rPr>
        <w:tab/>
      </w:r>
      <w:r>
        <w:rPr>
          <w:snapToGrid w:val="0"/>
        </w:rPr>
        <w:tab/>
        <w:t>A caravan used in a construction camp shall be so designed and constructed that — </w:t>
      </w:r>
    </w:p>
    <w:p>
      <w:pPr>
        <w:pStyle w:val="Indenta"/>
        <w:rPr>
          <w:snapToGrid w:val="0"/>
        </w:rPr>
      </w:pPr>
      <w:r>
        <w:rPr>
          <w:snapToGrid w:val="0"/>
        </w:rPr>
        <w:tab/>
        <w:t>(a)</w:t>
      </w:r>
      <w:r>
        <w:rPr>
          <w:snapToGrid w:val="0"/>
        </w:rPr>
        <w:tab/>
        <w:t>the structure shall be capable of sustaining and transmitting the dead load, imposed loads and horizontal and inclined forces to which it may be subjected in the service in which it is used;</w:t>
      </w:r>
    </w:p>
    <w:p>
      <w:pPr>
        <w:pStyle w:val="Indenta"/>
        <w:rPr>
          <w:snapToGrid w:val="0"/>
        </w:rPr>
      </w:pPr>
      <w:r>
        <w:rPr>
          <w:snapToGrid w:val="0"/>
        </w:rPr>
        <w:tab/>
        <w:t>(b)</w:t>
      </w:r>
      <w:r>
        <w:rPr>
          <w:snapToGrid w:val="0"/>
        </w:rPr>
        <w:tab/>
        <w:t>the external construction of the caravan shall adequately resist the penetration of weather and dampness;</w:t>
      </w:r>
    </w:p>
    <w:p>
      <w:pPr>
        <w:pStyle w:val="Indenta"/>
        <w:rPr>
          <w:snapToGrid w:val="0"/>
        </w:rPr>
      </w:pPr>
      <w:r>
        <w:rPr>
          <w:snapToGrid w:val="0"/>
        </w:rPr>
        <w:tab/>
        <w:t>(c)</w:t>
      </w:r>
      <w:r>
        <w:rPr>
          <w:snapToGrid w:val="0"/>
        </w:rPr>
        <w:tab/>
        <w:t>the external walls, roof and floor shall be of such materials and be so constructed, excluding glazed areas, that the thermal transmittance co</w:t>
      </w:r>
      <w:r>
        <w:rPr>
          <w:snapToGrid w:val="0"/>
        </w:rPr>
        <w:noBreakHyphen/>
        <w:t>efficient to external surfaces is not more than 0.30;</w:t>
      </w:r>
    </w:p>
    <w:p>
      <w:pPr>
        <w:pStyle w:val="Indenta"/>
        <w:rPr>
          <w:snapToGrid w:val="0"/>
        </w:rPr>
      </w:pPr>
      <w:r>
        <w:rPr>
          <w:snapToGrid w:val="0"/>
        </w:rPr>
        <w:tab/>
        <w:t>(d)</w:t>
      </w:r>
      <w:r>
        <w:rPr>
          <w:snapToGrid w:val="0"/>
        </w:rPr>
        <w:tab/>
        <w:t>condensation on the surface of the inner walls and partitions is avoided without the necessity for lowering the inside temperature or increasing the ventilation beyond the levels required for health and comfort;</w:t>
      </w:r>
    </w:p>
    <w:p>
      <w:pPr>
        <w:pStyle w:val="Indenta"/>
        <w:rPr>
          <w:snapToGrid w:val="0"/>
        </w:rPr>
      </w:pPr>
      <w:r>
        <w:rPr>
          <w:snapToGrid w:val="0"/>
        </w:rPr>
        <w:lastRenderedPageBreak/>
        <w:tab/>
        <w:t>(e)</w:t>
      </w:r>
      <w:r>
        <w:rPr>
          <w:snapToGrid w:val="0"/>
        </w:rPr>
        <w:tab/>
        <w:t>every living compartment shall be provided with windows or skylights, the total area of which shall be not less than one</w:t>
      </w:r>
      <w:r>
        <w:rPr>
          <w:snapToGrid w:val="0"/>
        </w:rPr>
        <w:noBreakHyphen/>
        <w:t>tenth the floor area of that compartment;</w:t>
      </w:r>
    </w:p>
    <w:p>
      <w:pPr>
        <w:pStyle w:val="Indenta"/>
        <w:rPr>
          <w:snapToGrid w:val="0"/>
        </w:rPr>
      </w:pPr>
      <w:r>
        <w:rPr>
          <w:snapToGrid w:val="0"/>
        </w:rPr>
        <w:tab/>
        <w:t>(f)</w:t>
      </w:r>
      <w:r>
        <w:rPr>
          <w:snapToGrid w:val="0"/>
        </w:rPr>
        <w:tab/>
        <w:t>the roof shall discharge rainwater clear of windows and doors;</w:t>
      </w:r>
    </w:p>
    <w:p>
      <w:pPr>
        <w:pStyle w:val="Indenta"/>
        <w:rPr>
          <w:snapToGrid w:val="0"/>
        </w:rPr>
      </w:pPr>
      <w:r>
        <w:rPr>
          <w:snapToGrid w:val="0"/>
        </w:rPr>
        <w:tab/>
        <w:t>(g)</w:t>
      </w:r>
      <w:r>
        <w:rPr>
          <w:snapToGrid w:val="0"/>
        </w:rPr>
        <w:tab/>
        <w:t>any fixed partitions separating sleeping compartments from other parts of the caravan together with hinged or sliding doors, shall for the purpose of obtaining some degree of fire protection, completely separate the 2 compartments between which they are used;</w:t>
      </w:r>
    </w:p>
    <w:p>
      <w:pPr>
        <w:pStyle w:val="Indenta"/>
        <w:spacing w:before="60"/>
        <w:rPr>
          <w:snapToGrid w:val="0"/>
        </w:rPr>
      </w:pPr>
      <w:r>
        <w:rPr>
          <w:snapToGrid w:val="0"/>
        </w:rPr>
        <w:tab/>
        <w:t>(h)</w:t>
      </w:r>
      <w:r>
        <w:rPr>
          <w:snapToGrid w:val="0"/>
        </w:rPr>
        <w:tab/>
        <w:t>each separate compartment (other than a toilet compartment, shall be provided with a satisfactory, means of escape by — </w:t>
      </w:r>
    </w:p>
    <w:p>
      <w:pPr>
        <w:pStyle w:val="Indenti"/>
        <w:spacing w:before="60"/>
        <w:rPr>
          <w:snapToGrid w:val="0"/>
        </w:rPr>
      </w:pPr>
      <w:r>
        <w:rPr>
          <w:snapToGrid w:val="0"/>
        </w:rPr>
        <w:tab/>
        <w:t>(i)</w:t>
      </w:r>
      <w:r>
        <w:rPr>
          <w:snapToGrid w:val="0"/>
        </w:rPr>
        <w:tab/>
        <w:t>a door of not less than 560 millimetres clear opening;</w:t>
      </w:r>
    </w:p>
    <w:p>
      <w:pPr>
        <w:pStyle w:val="Indenti"/>
        <w:spacing w:before="60"/>
        <w:rPr>
          <w:snapToGrid w:val="0"/>
        </w:rPr>
      </w:pPr>
      <w:r>
        <w:rPr>
          <w:snapToGrid w:val="0"/>
        </w:rPr>
        <w:tab/>
        <w:t>(ii)</w:t>
      </w:r>
      <w:r>
        <w:rPr>
          <w:snapToGrid w:val="0"/>
        </w:rPr>
        <w:tab/>
        <w:t>an escape panel of not less than 0.4 square metre clear opening with sides of not less than 460 millimetres and with its lower edge preferably not more than 760 millimetres above floor level, but never more than 915 millimetres above floor level; or</w:t>
      </w:r>
    </w:p>
    <w:p>
      <w:pPr>
        <w:pStyle w:val="Indenti"/>
        <w:spacing w:before="60"/>
        <w:rPr>
          <w:snapToGrid w:val="0"/>
        </w:rPr>
      </w:pPr>
      <w:r>
        <w:rPr>
          <w:snapToGrid w:val="0"/>
        </w:rPr>
        <w:tab/>
        <w:t>(iii)</w:t>
      </w:r>
      <w:r>
        <w:rPr>
          <w:snapToGrid w:val="0"/>
        </w:rPr>
        <w:tab/>
        <w:t>a window which, gives direct access to the open air in the event of fire and top hinged windows shall open through at least 70° and shall automatically stay full open until closed manually;</w:t>
      </w:r>
    </w:p>
    <w:p>
      <w:pPr>
        <w:pStyle w:val="Indenta"/>
        <w:spacing w:before="60"/>
        <w:rPr>
          <w:snapToGrid w:val="0"/>
        </w:rPr>
      </w:pPr>
      <w:r>
        <w:rPr>
          <w:snapToGrid w:val="0"/>
        </w:rPr>
        <w:tab/>
        <w:t>(i)</w:t>
      </w:r>
      <w:r>
        <w:rPr>
          <w:snapToGrid w:val="0"/>
        </w:rPr>
        <w:tab/>
        <w:t>where it is a residential caravan there shall be at least 2 access doors spaced well apart or one door and adequate escape hatches, the door or doors shall open outwards and be of not less than 560 millimetres clear opening and shall be on the near side of the caravan and be hinged to the front.</w:t>
      </w:r>
    </w:p>
    <w:p>
      <w:pPr>
        <w:pStyle w:val="Footnotesection"/>
      </w:pPr>
      <w:r>
        <w:tab/>
        <w:t>[Regulation 41 amended: Gazette 3 May 1974 p. 1429</w:t>
      </w:r>
      <w:r>
        <w:noBreakHyphen/>
        <w:t xml:space="preserve">30.] </w:t>
      </w:r>
    </w:p>
    <w:p>
      <w:pPr>
        <w:pStyle w:val="Heading5"/>
        <w:rPr>
          <w:snapToGrid w:val="0"/>
        </w:rPr>
      </w:pPr>
      <w:bookmarkStart w:id="50" w:name="_Toc167798657"/>
      <w:r>
        <w:rPr>
          <w:rStyle w:val="CharSectno"/>
        </w:rPr>
        <w:lastRenderedPageBreak/>
        <w:t>42</w:t>
      </w:r>
      <w:r>
        <w:rPr>
          <w:snapToGrid w:val="0"/>
        </w:rPr>
        <w:t>.</w:t>
      </w:r>
      <w:r>
        <w:rPr>
          <w:snapToGrid w:val="0"/>
        </w:rPr>
        <w:tab/>
        <w:t>Artificial light</w:t>
      </w:r>
      <w:bookmarkEnd w:id="50"/>
      <w:r>
        <w:rPr>
          <w:snapToGrid w:val="0"/>
        </w:rPr>
        <w:t xml:space="preserve"> </w:t>
      </w:r>
    </w:p>
    <w:p>
      <w:pPr>
        <w:pStyle w:val="Subsection"/>
        <w:rPr>
          <w:snapToGrid w:val="0"/>
        </w:rPr>
      </w:pPr>
      <w:r>
        <w:rPr>
          <w:snapToGrid w:val="0"/>
        </w:rPr>
        <w:tab/>
      </w:r>
      <w:r>
        <w:rPr>
          <w:snapToGrid w:val="0"/>
        </w:rPr>
        <w:tab/>
        <w:t>Every caravan used in a construction camp shall have means of providing artificial light either by gas or electricity.</w:t>
      </w:r>
    </w:p>
    <w:p>
      <w:pPr>
        <w:pStyle w:val="Heading5"/>
        <w:rPr>
          <w:snapToGrid w:val="0"/>
        </w:rPr>
      </w:pPr>
      <w:bookmarkStart w:id="51" w:name="_Toc167798658"/>
      <w:r>
        <w:rPr>
          <w:rStyle w:val="CharSectno"/>
        </w:rPr>
        <w:t>43</w:t>
      </w:r>
      <w:r>
        <w:rPr>
          <w:snapToGrid w:val="0"/>
        </w:rPr>
        <w:t>.</w:t>
      </w:r>
      <w:r>
        <w:rPr>
          <w:snapToGrid w:val="0"/>
        </w:rPr>
        <w:tab/>
        <w:t>Residential caravans</w:t>
      </w:r>
      <w:bookmarkEnd w:id="51"/>
      <w:r>
        <w:rPr>
          <w:snapToGrid w:val="0"/>
        </w:rPr>
        <w:t xml:space="preserve"> </w:t>
      </w:r>
    </w:p>
    <w:p>
      <w:pPr>
        <w:pStyle w:val="Subsection"/>
        <w:rPr>
          <w:snapToGrid w:val="0"/>
        </w:rPr>
      </w:pPr>
      <w:r>
        <w:rPr>
          <w:snapToGrid w:val="0"/>
        </w:rPr>
        <w:tab/>
      </w:r>
      <w:r>
        <w:rPr>
          <w:snapToGrid w:val="0"/>
        </w:rPr>
        <w:tab/>
        <w:t>Every residential caravan shall be equipped with — </w:t>
      </w:r>
    </w:p>
    <w:p>
      <w:pPr>
        <w:pStyle w:val="Indenta"/>
        <w:spacing w:before="60"/>
        <w:rPr>
          <w:snapToGrid w:val="0"/>
        </w:rPr>
      </w:pPr>
      <w:r>
        <w:rPr>
          <w:snapToGrid w:val="0"/>
        </w:rPr>
        <w:tab/>
        <w:t>(a)</w:t>
      </w:r>
      <w:r>
        <w:rPr>
          <w:snapToGrid w:val="0"/>
        </w:rPr>
        <w:tab/>
        <w:t>adequate cooking facilities;</w:t>
      </w:r>
    </w:p>
    <w:p>
      <w:pPr>
        <w:pStyle w:val="Indenta"/>
        <w:spacing w:before="60"/>
        <w:rPr>
          <w:snapToGrid w:val="0"/>
        </w:rPr>
      </w:pPr>
      <w:r>
        <w:rPr>
          <w:snapToGrid w:val="0"/>
        </w:rPr>
        <w:tab/>
        <w:t>(b)</w:t>
      </w:r>
      <w:r>
        <w:rPr>
          <w:snapToGrid w:val="0"/>
        </w:rPr>
        <w:tab/>
        <w:t>a fixed sink, the waste pipe of which shall discharge outside the caravan;</w:t>
      </w:r>
    </w:p>
    <w:p>
      <w:pPr>
        <w:pStyle w:val="Indenta"/>
        <w:rPr>
          <w:snapToGrid w:val="0"/>
        </w:rPr>
      </w:pPr>
      <w:r>
        <w:rPr>
          <w:snapToGrid w:val="0"/>
        </w:rPr>
        <w:tab/>
        <w:t>(c)</w:t>
      </w:r>
      <w:r>
        <w:rPr>
          <w:snapToGrid w:val="0"/>
        </w:rPr>
        <w:tab/>
        <w:t>an adequate food storage cupboard; and</w:t>
      </w:r>
    </w:p>
    <w:p>
      <w:pPr>
        <w:pStyle w:val="Indenta"/>
        <w:rPr>
          <w:snapToGrid w:val="0"/>
        </w:rPr>
      </w:pPr>
      <w:r>
        <w:rPr>
          <w:snapToGrid w:val="0"/>
        </w:rPr>
        <w:tab/>
        <w:t>(d)</w:t>
      </w:r>
      <w:r>
        <w:rPr>
          <w:snapToGrid w:val="0"/>
        </w:rPr>
        <w:tab/>
        <w:t>a refrigerator.</w:t>
      </w:r>
    </w:p>
    <w:p>
      <w:pPr>
        <w:pStyle w:val="Heading5"/>
        <w:rPr>
          <w:snapToGrid w:val="0"/>
        </w:rPr>
      </w:pPr>
      <w:bookmarkStart w:id="52" w:name="_Toc167798659"/>
      <w:r>
        <w:rPr>
          <w:rStyle w:val="CharSectno"/>
        </w:rPr>
        <w:t>44</w:t>
      </w:r>
      <w:r>
        <w:rPr>
          <w:snapToGrid w:val="0"/>
        </w:rPr>
        <w:t>.</w:t>
      </w:r>
      <w:r>
        <w:rPr>
          <w:snapToGrid w:val="0"/>
        </w:rPr>
        <w:tab/>
        <w:t>Internal equipment</w:t>
      </w:r>
      <w:bookmarkEnd w:id="52"/>
      <w:r>
        <w:rPr>
          <w:snapToGrid w:val="0"/>
        </w:rPr>
        <w:t xml:space="preserve"> </w:t>
      </w:r>
    </w:p>
    <w:p>
      <w:pPr>
        <w:pStyle w:val="Subsection"/>
        <w:rPr>
          <w:snapToGrid w:val="0"/>
        </w:rPr>
      </w:pPr>
      <w:r>
        <w:rPr>
          <w:snapToGrid w:val="0"/>
        </w:rPr>
        <w:tab/>
      </w:r>
      <w:r>
        <w:rPr>
          <w:snapToGrid w:val="0"/>
        </w:rPr>
        <w:tab/>
        <w:t>The installation of internal equipment in a caravan used in a construction camp shall where applicable comply with the following standards: </w:t>
      </w:r>
    </w:p>
    <w:p>
      <w:pPr>
        <w:pStyle w:val="Indenta"/>
        <w:rPr>
          <w:snapToGrid w:val="0"/>
        </w:rPr>
      </w:pPr>
      <w:r>
        <w:rPr>
          <w:snapToGrid w:val="0"/>
        </w:rPr>
        <w:tab/>
        <w:t>(a)</w:t>
      </w:r>
      <w:r>
        <w:rPr>
          <w:snapToGrid w:val="0"/>
        </w:rPr>
        <w:tab/>
        <w:t>Any electrical installations shall comply with S.A.A. Code No. C.C.7. — Wiring of Caravans and Caravan Parks.</w:t>
      </w:r>
    </w:p>
    <w:p>
      <w:pPr>
        <w:pStyle w:val="Indenta"/>
        <w:rPr>
          <w:snapToGrid w:val="0"/>
        </w:rPr>
      </w:pPr>
      <w:r>
        <w:rPr>
          <w:snapToGrid w:val="0"/>
        </w:rPr>
        <w:tab/>
        <w:t>(b)</w:t>
      </w:r>
      <w:r>
        <w:rPr>
          <w:snapToGrid w:val="0"/>
        </w:rPr>
        <w:tab/>
        <w:t>Any installation for the use of propane or butane gas shall comply with Australian Standard CB20</w:t>
      </w:r>
      <w:r>
        <w:rPr>
          <w:snapToGrid w:val="0"/>
        </w:rPr>
        <w:noBreakHyphen/>
        <w:t>1971 S.A.A. L.P. Gas Code (1956).</w:t>
      </w:r>
    </w:p>
    <w:p>
      <w:pPr>
        <w:pStyle w:val="Indenta"/>
        <w:rPr>
          <w:snapToGrid w:val="0"/>
        </w:rPr>
      </w:pPr>
      <w:r>
        <w:rPr>
          <w:snapToGrid w:val="0"/>
        </w:rPr>
        <w:tab/>
        <w:t>(c)</w:t>
      </w:r>
      <w:r>
        <w:rPr>
          <w:snapToGrid w:val="0"/>
        </w:rPr>
        <w:tab/>
        <w:t>Light fittings shall comply with S.A.A. Code C.C.7. for electricity and Australian Standard CB20</w:t>
      </w:r>
      <w:r>
        <w:rPr>
          <w:snapToGrid w:val="0"/>
        </w:rPr>
        <w:noBreakHyphen/>
        <w:t>1971 S.A.A. L.P. Gas Code for gas.</w:t>
      </w:r>
    </w:p>
    <w:p>
      <w:pPr>
        <w:pStyle w:val="Indenta"/>
        <w:rPr>
          <w:snapToGrid w:val="0"/>
        </w:rPr>
      </w:pPr>
      <w:r>
        <w:rPr>
          <w:snapToGrid w:val="0"/>
        </w:rPr>
        <w:tab/>
        <w:t>(d)</w:t>
      </w:r>
      <w:r>
        <w:rPr>
          <w:snapToGrid w:val="0"/>
        </w:rPr>
        <w:tab/>
        <w:t>Electrical cooking appliances shall comply with the S.A.A. Code No. C.C.7. — Wiring of Caravans and Caravan Parks and gas burning cooking appliances shall comply with Australian Standard CB20</w:t>
      </w:r>
      <w:r>
        <w:rPr>
          <w:snapToGrid w:val="0"/>
        </w:rPr>
        <w:noBreakHyphen/>
        <w:t>1971 S.A.A. L.P. Gas Code.</w:t>
      </w:r>
    </w:p>
    <w:p>
      <w:pPr>
        <w:pStyle w:val="Indenta"/>
        <w:rPr>
          <w:snapToGrid w:val="0"/>
        </w:rPr>
      </w:pPr>
      <w:r>
        <w:rPr>
          <w:snapToGrid w:val="0"/>
        </w:rPr>
        <w:tab/>
        <w:t>(e)</w:t>
      </w:r>
      <w:r>
        <w:rPr>
          <w:snapToGrid w:val="0"/>
        </w:rPr>
        <w:tab/>
        <w:t>All appliances shall be heat insulated from any combustible part of the caravan in the manner required in the Australian Standard CB20</w:t>
      </w:r>
      <w:r>
        <w:rPr>
          <w:snapToGrid w:val="0"/>
        </w:rPr>
        <w:noBreakHyphen/>
        <w:t xml:space="preserve">1971 S.A.A. L.P. Gas </w:t>
      </w:r>
      <w:r>
        <w:rPr>
          <w:snapToGrid w:val="0"/>
        </w:rPr>
        <w:lastRenderedPageBreak/>
        <w:t>Code and a shield of non</w:t>
      </w:r>
      <w:r>
        <w:rPr>
          <w:snapToGrid w:val="0"/>
        </w:rPr>
        <w:noBreakHyphen/>
        <w:t>combustible material shall be provided over the exposed vertical surface adjacent to the immediately above any hotplate to a height of not less than 305 millimetres and extending beyond the sides of the appliance to a distance of not less than 405 millimetres.</w:t>
      </w:r>
    </w:p>
    <w:p>
      <w:pPr>
        <w:pStyle w:val="Indenta"/>
        <w:rPr>
          <w:snapToGrid w:val="0"/>
        </w:rPr>
      </w:pPr>
      <w:r>
        <w:rPr>
          <w:snapToGrid w:val="0"/>
        </w:rPr>
        <w:tab/>
        <w:t>(f)</w:t>
      </w:r>
      <w:r>
        <w:rPr>
          <w:snapToGrid w:val="0"/>
        </w:rPr>
        <w:tab/>
        <w:t>Water heating appliances shall comply with Australian Standard CB20</w:t>
      </w:r>
      <w:r>
        <w:rPr>
          <w:snapToGrid w:val="0"/>
        </w:rPr>
        <w:noBreakHyphen/>
        <w:t>1971 S.A.A. L.P. Gas Code for butane or propane gas S.A.A. Code C.C.7. for electricity and B.S. Code of Practice CP. 340 for solid fuel.</w:t>
      </w:r>
    </w:p>
    <w:p>
      <w:pPr>
        <w:pStyle w:val="Indenta"/>
        <w:rPr>
          <w:snapToGrid w:val="0"/>
        </w:rPr>
      </w:pPr>
      <w:r>
        <w:rPr>
          <w:snapToGrid w:val="0"/>
        </w:rPr>
        <w:tab/>
        <w:t>(g)</w:t>
      </w:r>
      <w:r>
        <w:rPr>
          <w:snapToGrid w:val="0"/>
        </w:rPr>
        <w:tab/>
        <w:t>Chemical closets shall comply with the requirements of British Standard 2081 — Portable closets for use with chemicals.</w:t>
      </w:r>
    </w:p>
    <w:p>
      <w:pPr>
        <w:pStyle w:val="Indenta"/>
        <w:rPr>
          <w:i/>
          <w:snapToGrid w:val="0"/>
        </w:rPr>
      </w:pPr>
      <w:r>
        <w:rPr>
          <w:snapToGrid w:val="0"/>
        </w:rPr>
        <w:tab/>
        <w:t>(h)</w:t>
      </w:r>
      <w:r>
        <w:rPr>
          <w:snapToGrid w:val="0"/>
        </w:rPr>
        <w:tab/>
        <w:t>Flushing water closets shall have provision on the pan outlet for connection to an external drainage system and shall be fed from a cold water storage cistern on the site distribution system via a flushing cistern complying with</w:t>
      </w:r>
      <w:r>
        <w:t xml:space="preserve"> the requirements and standards applicable under the </w:t>
      </w:r>
      <w:r>
        <w:rPr>
          <w:i/>
        </w:rPr>
        <w:t>Water Services Act 2012</w:t>
      </w:r>
      <w:r>
        <w:t xml:space="preserve"> and the </w:t>
      </w:r>
      <w:r>
        <w:rPr>
          <w:i/>
        </w:rPr>
        <w:t>Plumbers Licensing and Plumbing Standards Regulations 2000</w:t>
      </w:r>
      <w:r>
        <w:t>.</w:t>
      </w:r>
    </w:p>
    <w:p>
      <w:pPr>
        <w:pStyle w:val="Indenta"/>
        <w:rPr>
          <w:snapToGrid w:val="0"/>
        </w:rPr>
      </w:pPr>
      <w:r>
        <w:rPr>
          <w:snapToGrid w:val="0"/>
        </w:rPr>
        <w:tab/>
        <w:t>(i)</w:t>
      </w:r>
      <w:r>
        <w:rPr>
          <w:snapToGrid w:val="0"/>
        </w:rPr>
        <w:tab/>
        <w:t>Boxed in compartments and cupboards shall be easily accessible for cleaning purposes.</w:t>
      </w:r>
    </w:p>
    <w:p>
      <w:pPr>
        <w:pStyle w:val="Footnotesection"/>
      </w:pPr>
      <w:r>
        <w:tab/>
        <w:t xml:space="preserve">[Regulation 44 amended: Gazette 16 Dec 1971 p. 5225; 3 May 1974 p. 1430; 14 Nov 2013 p. 5032.] </w:t>
      </w:r>
    </w:p>
    <w:p>
      <w:pPr>
        <w:pStyle w:val="Heading5"/>
        <w:rPr>
          <w:snapToGrid w:val="0"/>
        </w:rPr>
      </w:pPr>
      <w:bookmarkStart w:id="53" w:name="_Toc167798660"/>
      <w:r>
        <w:rPr>
          <w:rStyle w:val="CharSectno"/>
        </w:rPr>
        <w:t>45</w:t>
      </w:r>
      <w:r>
        <w:rPr>
          <w:snapToGrid w:val="0"/>
        </w:rPr>
        <w:t>.</w:t>
      </w:r>
      <w:r>
        <w:rPr>
          <w:snapToGrid w:val="0"/>
        </w:rPr>
        <w:tab/>
        <w:t>Fixed ventilation</w:t>
      </w:r>
      <w:bookmarkEnd w:id="53"/>
      <w:r>
        <w:rPr>
          <w:snapToGrid w:val="0"/>
        </w:rPr>
        <w:t xml:space="preserve"> </w:t>
      </w:r>
    </w:p>
    <w:p>
      <w:pPr>
        <w:pStyle w:val="Subsection"/>
        <w:rPr>
          <w:snapToGrid w:val="0"/>
        </w:rPr>
      </w:pPr>
      <w:r>
        <w:rPr>
          <w:snapToGrid w:val="0"/>
        </w:rPr>
        <w:tab/>
      </w:r>
      <w:r>
        <w:rPr>
          <w:snapToGrid w:val="0"/>
        </w:rPr>
        <w:tab/>
        <w:t>Fixed ventilation shall be provided in caravans used in construction camps — </w:t>
      </w:r>
    </w:p>
    <w:p>
      <w:pPr>
        <w:pStyle w:val="Indenta"/>
        <w:rPr>
          <w:snapToGrid w:val="0"/>
        </w:rPr>
      </w:pPr>
      <w:r>
        <w:rPr>
          <w:snapToGrid w:val="0"/>
        </w:rPr>
        <w:tab/>
        <w:t>(a)</w:t>
      </w:r>
      <w:r>
        <w:rPr>
          <w:snapToGrid w:val="0"/>
        </w:rPr>
        <w:tab/>
        <w:t>at the base of cookers and hotplates to ensure complete combustion of the fuel;</w:t>
      </w:r>
    </w:p>
    <w:p>
      <w:pPr>
        <w:pStyle w:val="Indenta"/>
        <w:rPr>
          <w:snapToGrid w:val="0"/>
        </w:rPr>
      </w:pPr>
      <w:r>
        <w:rPr>
          <w:snapToGrid w:val="0"/>
        </w:rPr>
        <w:tab/>
        <w:t>(b)</w:t>
      </w:r>
      <w:r>
        <w:rPr>
          <w:snapToGrid w:val="0"/>
        </w:rPr>
        <w:tab/>
        <w:t>overhead, to remove products of combustion and cooking smells;</w:t>
      </w:r>
    </w:p>
    <w:p>
      <w:pPr>
        <w:pStyle w:val="Indenta"/>
        <w:rPr>
          <w:snapToGrid w:val="0"/>
        </w:rPr>
      </w:pPr>
      <w:r>
        <w:rPr>
          <w:snapToGrid w:val="0"/>
        </w:rPr>
        <w:lastRenderedPageBreak/>
        <w:tab/>
        <w:t>(c)</w:t>
      </w:r>
      <w:r>
        <w:rPr>
          <w:snapToGrid w:val="0"/>
        </w:rPr>
        <w:tab/>
        <w:t>in gas container lockers in accordance with the requirements of Australian Standard CB20</w:t>
      </w:r>
      <w:r>
        <w:rPr>
          <w:snapToGrid w:val="0"/>
        </w:rPr>
        <w:noBreakHyphen/>
        <w:t>1971 S.A.A. L.P. Gas Code;</w:t>
      </w:r>
    </w:p>
    <w:p>
      <w:pPr>
        <w:pStyle w:val="Indenta"/>
        <w:rPr>
          <w:snapToGrid w:val="0"/>
        </w:rPr>
      </w:pPr>
      <w:r>
        <w:rPr>
          <w:snapToGrid w:val="0"/>
        </w:rPr>
        <w:tab/>
        <w:t>(d)</w:t>
      </w:r>
      <w:r>
        <w:rPr>
          <w:snapToGrid w:val="0"/>
        </w:rPr>
        <w:tab/>
        <w:t>in solid fuel fire installations in accordance with the requirements of B.S. Code of Practice CP. 340;</w:t>
      </w:r>
    </w:p>
    <w:p>
      <w:pPr>
        <w:pStyle w:val="Indenta"/>
        <w:rPr>
          <w:snapToGrid w:val="0"/>
        </w:rPr>
      </w:pPr>
      <w:r>
        <w:rPr>
          <w:snapToGrid w:val="0"/>
        </w:rPr>
        <w:tab/>
        <w:t>(e)</w:t>
      </w:r>
      <w:r>
        <w:rPr>
          <w:snapToGrid w:val="0"/>
        </w:rPr>
        <w:tab/>
        <w:t>in food storage cupboards and lockers equally at the bottom and the top, each vent having a nett minimum area of 450 square millimetres per cubic metre of interior volume, calculated on the open space when the vents are covered with a vermin proof shield and shelves shall be so designed as to permit the passage of a current of air from the bottom vent to the top one;</w:t>
      </w:r>
    </w:p>
    <w:p>
      <w:pPr>
        <w:pStyle w:val="Indenta"/>
        <w:rPr>
          <w:snapToGrid w:val="0"/>
        </w:rPr>
      </w:pPr>
      <w:r>
        <w:rPr>
          <w:snapToGrid w:val="0"/>
        </w:rPr>
        <w:tab/>
        <w:t>(f)</w:t>
      </w:r>
      <w:r>
        <w:rPr>
          <w:snapToGrid w:val="0"/>
        </w:rPr>
        <w:tab/>
        <w:t>in totally enclosed fold</w:t>
      </w:r>
      <w:r>
        <w:rPr>
          <w:snapToGrid w:val="0"/>
        </w:rPr>
        <w:noBreakHyphen/>
        <w:t>away beds, to permit a flow of air, but vents should not communicate directly with the air outside the caravan;</w:t>
      </w:r>
    </w:p>
    <w:p>
      <w:pPr>
        <w:pStyle w:val="Indenta"/>
        <w:rPr>
          <w:snapToGrid w:val="0"/>
        </w:rPr>
      </w:pPr>
      <w:r>
        <w:rPr>
          <w:snapToGrid w:val="0"/>
        </w:rPr>
        <w:tab/>
        <w:t>(g)</w:t>
      </w:r>
      <w:r>
        <w:rPr>
          <w:snapToGrid w:val="0"/>
        </w:rPr>
        <w:tab/>
        <w:t>in wardrobes and bedlockers, to permit a flow of air from the bottom to the top, between ventilators, but vents should not communicate directly with the air outside the caravan;</w:t>
      </w:r>
    </w:p>
    <w:p>
      <w:pPr>
        <w:pStyle w:val="Indenta"/>
        <w:rPr>
          <w:snapToGrid w:val="0"/>
        </w:rPr>
      </w:pPr>
      <w:r>
        <w:rPr>
          <w:snapToGrid w:val="0"/>
        </w:rPr>
        <w:tab/>
        <w:t>(h)</w:t>
      </w:r>
      <w:r>
        <w:rPr>
          <w:snapToGrid w:val="0"/>
        </w:rPr>
        <w:tab/>
        <w:t>in toilet compartments, at floor level near the chemical closet or water closet pan, and shall have not less than 2 900 square millimetres effective opening.</w:t>
      </w:r>
    </w:p>
    <w:p>
      <w:pPr>
        <w:pStyle w:val="Footnotesection"/>
      </w:pPr>
      <w:r>
        <w:tab/>
        <w:t xml:space="preserve">[Regulation 45 amended: Gazette 16 Dec 1971 p. 5225; 3 May 1974 p. 1430.] </w:t>
      </w:r>
    </w:p>
    <w:p>
      <w:pPr>
        <w:pStyle w:val="Heading5"/>
        <w:rPr>
          <w:snapToGrid w:val="0"/>
        </w:rPr>
      </w:pPr>
      <w:bookmarkStart w:id="54" w:name="_Toc167798661"/>
      <w:r>
        <w:rPr>
          <w:rStyle w:val="CharSectno"/>
        </w:rPr>
        <w:t>46</w:t>
      </w:r>
      <w:r>
        <w:rPr>
          <w:snapToGrid w:val="0"/>
        </w:rPr>
        <w:t>.</w:t>
      </w:r>
      <w:r>
        <w:rPr>
          <w:snapToGrid w:val="0"/>
        </w:rPr>
        <w:tab/>
        <w:t>Adjustable ventilation</w:t>
      </w:r>
      <w:bookmarkEnd w:id="54"/>
      <w:r>
        <w:rPr>
          <w:snapToGrid w:val="0"/>
        </w:rPr>
        <w:t xml:space="preserve"> </w:t>
      </w:r>
    </w:p>
    <w:p>
      <w:pPr>
        <w:pStyle w:val="Subsection"/>
        <w:rPr>
          <w:snapToGrid w:val="0"/>
        </w:rPr>
      </w:pPr>
      <w:r>
        <w:rPr>
          <w:snapToGrid w:val="0"/>
        </w:rPr>
        <w:tab/>
      </w:r>
      <w:r>
        <w:rPr>
          <w:snapToGrid w:val="0"/>
        </w:rPr>
        <w:tab/>
        <w:t>In addition to permanent ventilation, adjustable ventilation shall be installed, in caravans used in construction camps, either in the roof or at a high level, in small bedrooms, over cookers and hot plates and in the toilet compartment to cater for adverse conditions requiring windows to be shut.</w:t>
      </w:r>
    </w:p>
    <w:p>
      <w:pPr>
        <w:pStyle w:val="Heading2"/>
      </w:pPr>
      <w:bookmarkStart w:id="55" w:name="_Toc167786041"/>
      <w:bookmarkStart w:id="56" w:name="_Toc167786314"/>
      <w:bookmarkStart w:id="57" w:name="_Toc167798662"/>
      <w:r>
        <w:rPr>
          <w:rStyle w:val="CharPartNo"/>
        </w:rPr>
        <w:lastRenderedPageBreak/>
        <w:t>Part IV</w:t>
      </w:r>
      <w:r>
        <w:rPr>
          <w:rStyle w:val="CharDivNo"/>
        </w:rPr>
        <w:t> </w:t>
      </w:r>
      <w:r>
        <w:t>—</w:t>
      </w:r>
      <w:r>
        <w:rPr>
          <w:rStyle w:val="CharDivText"/>
        </w:rPr>
        <w:t> </w:t>
      </w:r>
      <w:r>
        <w:rPr>
          <w:rStyle w:val="CharPartText"/>
        </w:rPr>
        <w:t>Offences and penalties</w:t>
      </w:r>
      <w:bookmarkEnd w:id="55"/>
      <w:bookmarkEnd w:id="56"/>
      <w:bookmarkEnd w:id="57"/>
      <w:r>
        <w:rPr>
          <w:rStyle w:val="CharPartText"/>
        </w:rPr>
        <w:t xml:space="preserve"> </w:t>
      </w:r>
    </w:p>
    <w:p>
      <w:pPr>
        <w:pStyle w:val="Footnoteheading"/>
        <w:ind w:firstLine="890"/>
        <w:rPr>
          <w:snapToGrid w:val="0"/>
        </w:rPr>
      </w:pPr>
      <w:r>
        <w:rPr>
          <w:snapToGrid w:val="0"/>
        </w:rPr>
        <w:t xml:space="preserve">[Heading inserted: Gazette 14 Oct 1988 p. 4160.] </w:t>
      </w:r>
    </w:p>
    <w:p>
      <w:pPr>
        <w:pStyle w:val="Heading5"/>
        <w:rPr>
          <w:snapToGrid w:val="0"/>
        </w:rPr>
      </w:pPr>
      <w:bookmarkStart w:id="58" w:name="_Toc167798663"/>
      <w:r>
        <w:rPr>
          <w:rStyle w:val="CharSectno"/>
        </w:rPr>
        <w:t>47</w:t>
      </w:r>
      <w:r>
        <w:rPr>
          <w:snapToGrid w:val="0"/>
        </w:rPr>
        <w:t>.</w:t>
      </w:r>
      <w:r>
        <w:rPr>
          <w:snapToGrid w:val="0"/>
        </w:rPr>
        <w:tab/>
        <w:t>Offences and penalties</w:t>
      </w:r>
      <w:bookmarkEnd w:id="58"/>
      <w:r>
        <w:rPr>
          <w:snapToGrid w:val="0"/>
        </w:rPr>
        <w:t xml:space="preserve"> </w:t>
      </w:r>
    </w:p>
    <w:p>
      <w:pPr>
        <w:pStyle w:val="Subsection"/>
        <w:rPr>
          <w:snapToGrid w:val="0"/>
        </w:rPr>
      </w:pPr>
      <w:r>
        <w:rPr>
          <w:snapToGrid w:val="0"/>
        </w:rPr>
        <w:tab/>
        <w:t>(1)</w:t>
      </w:r>
      <w:r>
        <w:rPr>
          <w:snapToGrid w:val="0"/>
        </w:rPr>
        <w:tab/>
        <w:t>A person who contravenes a provision of these regulations commits an offence and is liable to — </w:t>
      </w:r>
    </w:p>
    <w:p>
      <w:pPr>
        <w:pStyle w:val="Indenta"/>
        <w:rPr>
          <w:snapToGrid w:val="0"/>
        </w:rPr>
      </w:pPr>
      <w:r>
        <w:rPr>
          <w:snapToGrid w:val="0"/>
        </w:rPr>
        <w:tab/>
        <w:t>(a)</w:t>
      </w:r>
      <w:r>
        <w:rPr>
          <w:snapToGrid w:val="0"/>
        </w:rPr>
        <w:tab/>
        <w:t>a penalty which is not more than $1 000 and not less than — </w:t>
      </w:r>
    </w:p>
    <w:p>
      <w:pPr>
        <w:pStyle w:val="Indenti"/>
        <w:rPr>
          <w:snapToGrid w:val="0"/>
        </w:rPr>
      </w:pPr>
      <w:r>
        <w:rPr>
          <w:snapToGrid w:val="0"/>
        </w:rPr>
        <w:tab/>
        <w:t>(i)</w:t>
      </w:r>
      <w:r>
        <w:rPr>
          <w:snapToGrid w:val="0"/>
        </w:rPr>
        <w:tab/>
        <w:t>in the case of a first offence, $100;</w:t>
      </w:r>
    </w:p>
    <w:p>
      <w:pPr>
        <w:pStyle w:val="Indenti"/>
        <w:rPr>
          <w:snapToGrid w:val="0"/>
        </w:rPr>
      </w:pPr>
      <w:r>
        <w:rPr>
          <w:snapToGrid w:val="0"/>
        </w:rPr>
        <w:tab/>
        <w:t>(ii)</w:t>
      </w:r>
      <w:r>
        <w:rPr>
          <w:snapToGrid w:val="0"/>
        </w:rPr>
        <w:tab/>
        <w:t>in the case of a second offence, $200; and</w:t>
      </w:r>
    </w:p>
    <w:p>
      <w:pPr>
        <w:pStyle w:val="Indenti"/>
        <w:rPr>
          <w:snapToGrid w:val="0"/>
        </w:rPr>
      </w:pPr>
      <w:r>
        <w:rPr>
          <w:snapToGrid w:val="0"/>
        </w:rPr>
        <w:tab/>
        <w:t>(iii)</w:t>
      </w:r>
      <w:r>
        <w:rPr>
          <w:snapToGrid w:val="0"/>
        </w:rPr>
        <w:tab/>
        <w:t xml:space="preserve">in the case of a third or subsequent offence, $500; </w:t>
      </w:r>
    </w:p>
    <w:p>
      <w:pPr>
        <w:pStyle w:val="Indenta"/>
        <w:rPr>
          <w:snapToGrid w:val="0"/>
        </w:rPr>
      </w:pPr>
      <w:r>
        <w:rPr>
          <w:snapToGrid w:val="0"/>
        </w:rPr>
        <w:tab/>
      </w:r>
      <w:r>
        <w:rPr>
          <w:snapToGrid w:val="0"/>
        </w:rPr>
        <w:tab/>
        <w:t>and</w:t>
      </w:r>
    </w:p>
    <w:p>
      <w:pPr>
        <w:pStyle w:val="Indenta"/>
        <w:rPr>
          <w:snapToGrid w:val="0"/>
        </w:rPr>
      </w:pPr>
      <w:r>
        <w:rPr>
          <w:snapToGrid w:val="0"/>
        </w:rPr>
        <w:tab/>
        <w:t>(b)</w:t>
      </w:r>
      <w:r>
        <w:rPr>
          <w:snapToGrid w:val="0"/>
        </w:rPr>
        <w:tab/>
        <w:t>if that offence is a continuing offence, a daily penalty which is not more than $100 and not less than $50.</w:t>
      </w:r>
    </w:p>
    <w:p>
      <w:pPr>
        <w:pStyle w:val="Footnotesection"/>
      </w:pPr>
      <w:r>
        <w:tab/>
        <w:t xml:space="preserve">[Regulation 47 inserted: Gazette 14 Oct 1988 p. 4160.] </w:t>
      </w:r>
    </w:p>
    <w:p>
      <w:pPr>
        <w:rPr>
          <w:rStyle w:val="CharDivText"/>
        </w:rPr>
        <w:sectPr>
          <w:headerReference w:type="even" r:id="rId20"/>
          <w:headerReference w:type="default" r:id="rId21"/>
          <w:headerReference w:type="first" r:id="rId22"/>
          <w:pgSz w:w="11907" w:h="16840" w:code="9"/>
          <w:pgMar w:top="2376" w:right="2405" w:bottom="3542" w:left="2405" w:header="706" w:footer="3544" w:gutter="0"/>
          <w:pgNumType w:start="1"/>
          <w:cols w:space="720"/>
          <w:noEndnote/>
          <w:titlePg/>
          <w:docGrid w:linePitch="326"/>
        </w:sectPr>
      </w:pPr>
    </w:p>
    <w:p>
      <w:pPr>
        <w:pStyle w:val="nHeading2"/>
      </w:pPr>
      <w:bookmarkStart w:id="59" w:name="_Toc167786043"/>
      <w:bookmarkStart w:id="60" w:name="_Toc167786316"/>
      <w:bookmarkStart w:id="61" w:name="_Toc167798664"/>
      <w:r>
        <w:lastRenderedPageBreak/>
        <w:t>Notes</w:t>
      </w:r>
      <w:bookmarkEnd w:id="59"/>
      <w:bookmarkEnd w:id="60"/>
      <w:bookmarkEnd w:id="61"/>
    </w:p>
    <w:p>
      <w:pPr>
        <w:pStyle w:val="nStatement"/>
      </w:pPr>
      <w:r>
        <w:t xml:space="preserve">This is a compilation of the </w:t>
      </w:r>
      <w:r>
        <w:rPr>
          <w:i/>
          <w:noProof/>
        </w:rPr>
        <w:t>Construction Camp Regulations</w:t>
      </w:r>
      <w:r>
        <w:t xml:space="preserve"> and includes amendments made by other written laws. For provisions that have come into operation, and for information about any reprints, see the compilation table.</w:t>
      </w:r>
    </w:p>
    <w:p>
      <w:pPr>
        <w:pStyle w:val="nHeading3"/>
      </w:pPr>
      <w:bookmarkStart w:id="62" w:name="_Toc167798665"/>
      <w:r>
        <w:t>Compilation table</w:t>
      </w:r>
      <w:bookmarkEnd w:id="62"/>
    </w:p>
    <w:tbl>
      <w:tblPr>
        <w:tblW w:w="7087" w:type="dxa"/>
        <w:tblInd w:w="28" w:type="dxa"/>
        <w:tblBorders>
          <w:top w:val="single" w:sz="8" w:space="0" w:color="auto"/>
          <w:bottom w:val="single" w:sz="4" w:space="0" w:color="auto"/>
          <w:insideH w:val="single" w:sz="8" w:space="0" w:color="auto"/>
        </w:tblBorders>
        <w:tblLayout w:type="fixed"/>
        <w:tblCellMar>
          <w:left w:w="56" w:type="dxa"/>
          <w:right w:w="56" w:type="dxa"/>
        </w:tblCellMar>
        <w:tblLook w:val="0000" w:firstRow="0" w:lastRow="0" w:firstColumn="0" w:lastColumn="0" w:noHBand="0" w:noVBand="0"/>
      </w:tblPr>
      <w:tblGrid>
        <w:gridCol w:w="3118"/>
        <w:gridCol w:w="1276"/>
        <w:gridCol w:w="2693"/>
      </w:tblGrid>
      <w:tr>
        <w:trPr>
          <w:tblHeader/>
        </w:trPr>
        <w:tc>
          <w:tcPr>
            <w:tcW w:w="3118" w:type="dxa"/>
          </w:tcPr>
          <w:p>
            <w:pPr>
              <w:pStyle w:val="nTable"/>
              <w:spacing w:after="40"/>
              <w:rPr>
                <w:b/>
              </w:rPr>
            </w:pPr>
            <w:r>
              <w:rPr>
                <w:b/>
              </w:rPr>
              <w:t>Citation</w:t>
            </w:r>
          </w:p>
        </w:tc>
        <w:tc>
          <w:tcPr>
            <w:tcW w:w="1276" w:type="dxa"/>
          </w:tcPr>
          <w:p>
            <w:pPr>
              <w:pStyle w:val="nTable"/>
              <w:spacing w:after="40"/>
              <w:rPr>
                <w:b/>
              </w:rPr>
            </w:pPr>
            <w:r>
              <w:rPr>
                <w:b/>
              </w:rPr>
              <w:t>Published</w:t>
            </w:r>
          </w:p>
        </w:tc>
        <w:tc>
          <w:tcPr>
            <w:tcW w:w="2693" w:type="dxa"/>
          </w:tcPr>
          <w:p>
            <w:pPr>
              <w:pStyle w:val="nTable"/>
              <w:spacing w:after="40"/>
              <w:rPr>
                <w:b/>
              </w:rPr>
            </w:pPr>
            <w:r>
              <w:rPr>
                <w:b/>
              </w:rPr>
              <w:t>Commencement</w:t>
            </w:r>
          </w:p>
        </w:tc>
      </w:tr>
      <w:tr>
        <w:tblPrEx>
          <w:tblBorders>
            <w:top w:val="none" w:sz="0" w:space="0" w:color="auto"/>
            <w:bottom w:val="none" w:sz="0" w:space="0" w:color="auto"/>
            <w:insideH w:val="none" w:sz="0" w:space="0" w:color="auto"/>
          </w:tblBorders>
        </w:tblPrEx>
        <w:tc>
          <w:tcPr>
            <w:tcW w:w="3118" w:type="dxa"/>
          </w:tcPr>
          <w:p>
            <w:pPr>
              <w:pStyle w:val="nTable"/>
              <w:spacing w:after="40"/>
            </w:pPr>
            <w:r>
              <w:rPr>
                <w:i/>
              </w:rPr>
              <w:t>Construction Camp Regulations</w:t>
            </w:r>
          </w:p>
        </w:tc>
        <w:tc>
          <w:tcPr>
            <w:tcW w:w="1276" w:type="dxa"/>
          </w:tcPr>
          <w:p>
            <w:pPr>
              <w:pStyle w:val="nTable"/>
              <w:spacing w:after="40"/>
            </w:pPr>
            <w:r>
              <w:t>16 Jun 1970 p. 1668</w:t>
            </w:r>
            <w:r>
              <w:noBreakHyphen/>
              <w:t>75</w:t>
            </w:r>
          </w:p>
        </w:tc>
        <w:tc>
          <w:tcPr>
            <w:tcW w:w="2693" w:type="dxa"/>
          </w:tcPr>
          <w:p>
            <w:pPr>
              <w:pStyle w:val="nTable"/>
              <w:spacing w:after="40"/>
            </w:pPr>
            <w:r>
              <w:t>16 Jun 1970</w:t>
            </w:r>
          </w:p>
        </w:tc>
      </w:tr>
      <w:tr>
        <w:tblPrEx>
          <w:tblBorders>
            <w:top w:val="none" w:sz="0" w:space="0" w:color="auto"/>
            <w:bottom w:val="none" w:sz="0" w:space="0" w:color="auto"/>
            <w:insideH w:val="none" w:sz="0" w:space="0" w:color="auto"/>
          </w:tblBorders>
        </w:tblPrEx>
        <w:tc>
          <w:tcPr>
            <w:tcW w:w="3118" w:type="dxa"/>
          </w:tcPr>
          <w:p>
            <w:pPr>
              <w:pStyle w:val="nTable"/>
              <w:spacing w:after="40"/>
            </w:pPr>
            <w:r>
              <w:t>Untitled regulations</w:t>
            </w:r>
          </w:p>
        </w:tc>
        <w:tc>
          <w:tcPr>
            <w:tcW w:w="1276" w:type="dxa"/>
          </w:tcPr>
          <w:p>
            <w:pPr>
              <w:pStyle w:val="nTable"/>
              <w:spacing w:after="40"/>
            </w:pPr>
            <w:r>
              <w:t>18 Nov 1970 p. 3586-7</w:t>
            </w:r>
          </w:p>
        </w:tc>
        <w:tc>
          <w:tcPr>
            <w:tcW w:w="2693" w:type="dxa"/>
          </w:tcPr>
          <w:p>
            <w:pPr>
              <w:pStyle w:val="nTable"/>
              <w:spacing w:after="40"/>
            </w:pPr>
            <w:r>
              <w:t>18 Nov 1970</w:t>
            </w:r>
          </w:p>
        </w:tc>
      </w:tr>
      <w:tr>
        <w:tblPrEx>
          <w:tblBorders>
            <w:top w:val="none" w:sz="0" w:space="0" w:color="auto"/>
            <w:bottom w:val="none" w:sz="0" w:space="0" w:color="auto"/>
            <w:insideH w:val="none" w:sz="0" w:space="0" w:color="auto"/>
          </w:tblBorders>
        </w:tblPrEx>
        <w:tc>
          <w:tcPr>
            <w:tcW w:w="3118" w:type="dxa"/>
          </w:tcPr>
          <w:p>
            <w:pPr>
              <w:pStyle w:val="nTable"/>
              <w:spacing w:after="40"/>
            </w:pPr>
            <w:r>
              <w:t>Untitled regulations</w:t>
            </w:r>
          </w:p>
        </w:tc>
        <w:tc>
          <w:tcPr>
            <w:tcW w:w="1276" w:type="dxa"/>
          </w:tcPr>
          <w:p>
            <w:pPr>
              <w:pStyle w:val="nTable"/>
              <w:spacing w:after="40"/>
            </w:pPr>
            <w:r>
              <w:t>20 Apr 1971 p. 1188-9</w:t>
            </w:r>
          </w:p>
        </w:tc>
        <w:tc>
          <w:tcPr>
            <w:tcW w:w="2693" w:type="dxa"/>
          </w:tcPr>
          <w:p>
            <w:pPr>
              <w:pStyle w:val="nTable"/>
              <w:spacing w:after="40"/>
            </w:pPr>
            <w:r>
              <w:t>20 Apr 1971</w:t>
            </w:r>
          </w:p>
        </w:tc>
      </w:tr>
      <w:tr>
        <w:tblPrEx>
          <w:tblBorders>
            <w:top w:val="none" w:sz="0" w:space="0" w:color="auto"/>
            <w:bottom w:val="none" w:sz="0" w:space="0" w:color="auto"/>
            <w:insideH w:val="none" w:sz="0" w:space="0" w:color="auto"/>
          </w:tblBorders>
        </w:tblPrEx>
        <w:tc>
          <w:tcPr>
            <w:tcW w:w="3118" w:type="dxa"/>
          </w:tcPr>
          <w:p>
            <w:pPr>
              <w:pStyle w:val="nTable"/>
              <w:spacing w:after="40"/>
            </w:pPr>
            <w:r>
              <w:t>Untitled regulations</w:t>
            </w:r>
          </w:p>
        </w:tc>
        <w:tc>
          <w:tcPr>
            <w:tcW w:w="1276" w:type="dxa"/>
          </w:tcPr>
          <w:p>
            <w:pPr>
              <w:pStyle w:val="nTable"/>
              <w:spacing w:after="40"/>
            </w:pPr>
            <w:r>
              <w:t>16 Dec 1971 p. 5225</w:t>
            </w:r>
          </w:p>
        </w:tc>
        <w:tc>
          <w:tcPr>
            <w:tcW w:w="2693" w:type="dxa"/>
          </w:tcPr>
          <w:p>
            <w:pPr>
              <w:pStyle w:val="nTable"/>
              <w:spacing w:after="40"/>
            </w:pPr>
            <w:r>
              <w:t>16 Dec 1971</w:t>
            </w:r>
          </w:p>
        </w:tc>
      </w:tr>
      <w:tr>
        <w:tblPrEx>
          <w:tblBorders>
            <w:top w:val="none" w:sz="0" w:space="0" w:color="auto"/>
            <w:bottom w:val="none" w:sz="0" w:space="0" w:color="auto"/>
            <w:insideH w:val="none" w:sz="0" w:space="0" w:color="auto"/>
          </w:tblBorders>
        </w:tblPrEx>
        <w:tc>
          <w:tcPr>
            <w:tcW w:w="3118" w:type="dxa"/>
          </w:tcPr>
          <w:p>
            <w:pPr>
              <w:pStyle w:val="nTable"/>
              <w:spacing w:after="40"/>
            </w:pPr>
            <w:r>
              <w:t>Untitled regulations</w:t>
            </w:r>
          </w:p>
        </w:tc>
        <w:tc>
          <w:tcPr>
            <w:tcW w:w="1276" w:type="dxa"/>
          </w:tcPr>
          <w:p>
            <w:pPr>
              <w:pStyle w:val="nTable"/>
              <w:spacing w:after="40"/>
            </w:pPr>
            <w:r>
              <w:t>3 May 1974 p. 1428-30</w:t>
            </w:r>
          </w:p>
        </w:tc>
        <w:tc>
          <w:tcPr>
            <w:tcW w:w="2693" w:type="dxa"/>
          </w:tcPr>
          <w:p>
            <w:pPr>
              <w:pStyle w:val="nTable"/>
              <w:spacing w:after="40"/>
            </w:pPr>
            <w:r>
              <w:t>3 May 1974</w:t>
            </w:r>
          </w:p>
          <w:p>
            <w:pPr>
              <w:pStyle w:val="nTable"/>
              <w:spacing w:after="40"/>
            </w:pPr>
          </w:p>
        </w:tc>
      </w:tr>
      <w:tr>
        <w:tblPrEx>
          <w:tblBorders>
            <w:top w:val="none" w:sz="0" w:space="0" w:color="auto"/>
            <w:bottom w:val="none" w:sz="0" w:space="0" w:color="auto"/>
            <w:insideH w:val="none" w:sz="0" w:space="0" w:color="auto"/>
          </w:tblBorders>
        </w:tblPrEx>
        <w:tc>
          <w:tcPr>
            <w:tcW w:w="3118" w:type="dxa"/>
          </w:tcPr>
          <w:p>
            <w:pPr>
              <w:pStyle w:val="nTable"/>
              <w:spacing w:after="40"/>
            </w:pPr>
            <w:r>
              <w:t>Untitled Regulations</w:t>
            </w:r>
          </w:p>
        </w:tc>
        <w:tc>
          <w:tcPr>
            <w:tcW w:w="1276" w:type="dxa"/>
          </w:tcPr>
          <w:p>
            <w:pPr>
              <w:pStyle w:val="nTable"/>
              <w:spacing w:after="40"/>
            </w:pPr>
            <w:r>
              <w:t>12 Jul 1974 p. 2597</w:t>
            </w:r>
          </w:p>
        </w:tc>
        <w:tc>
          <w:tcPr>
            <w:tcW w:w="2693" w:type="dxa"/>
          </w:tcPr>
          <w:p>
            <w:pPr>
              <w:pStyle w:val="nTable"/>
              <w:spacing w:after="40"/>
            </w:pPr>
            <w:r>
              <w:t>12 Jul 1974</w:t>
            </w:r>
          </w:p>
        </w:tc>
      </w:tr>
      <w:tr>
        <w:tblPrEx>
          <w:tblBorders>
            <w:top w:val="none" w:sz="0" w:space="0" w:color="auto"/>
            <w:bottom w:val="none" w:sz="0" w:space="0" w:color="auto"/>
            <w:insideH w:val="none" w:sz="0" w:space="0" w:color="auto"/>
          </w:tblBorders>
        </w:tblPrEx>
        <w:trPr>
          <w:cantSplit/>
        </w:trPr>
        <w:tc>
          <w:tcPr>
            <w:tcW w:w="7087" w:type="dxa"/>
            <w:gridSpan w:val="3"/>
          </w:tcPr>
          <w:p>
            <w:pPr>
              <w:pStyle w:val="nTable"/>
              <w:spacing w:after="40"/>
            </w:pPr>
            <w:r>
              <w:rPr>
                <w:b/>
              </w:rPr>
              <w:t xml:space="preserve">Reprint of the </w:t>
            </w:r>
            <w:r>
              <w:rPr>
                <w:b/>
                <w:i/>
              </w:rPr>
              <w:t xml:space="preserve">Construction Camp Regulations </w:t>
            </w:r>
            <w:r>
              <w:rPr>
                <w:b/>
              </w:rPr>
              <w:t xml:space="preserve">as at 11 Oct 1985 in </w:t>
            </w:r>
            <w:r>
              <w:rPr>
                <w:b/>
                <w:i/>
              </w:rPr>
              <w:t>Gazette</w:t>
            </w:r>
            <w:r>
              <w:rPr>
                <w:b/>
              </w:rPr>
              <w:t xml:space="preserve"> 29 Oct 1985 p. 4167-82 </w:t>
            </w:r>
            <w:r>
              <w:t>(includes amendments listed above)</w:t>
            </w:r>
          </w:p>
        </w:tc>
      </w:tr>
      <w:tr>
        <w:tblPrEx>
          <w:tblBorders>
            <w:top w:val="none" w:sz="0" w:space="0" w:color="auto"/>
            <w:bottom w:val="none" w:sz="0" w:space="0" w:color="auto"/>
            <w:insideH w:val="none" w:sz="0" w:space="0" w:color="auto"/>
          </w:tblBorders>
        </w:tblPrEx>
        <w:tc>
          <w:tcPr>
            <w:tcW w:w="3118" w:type="dxa"/>
          </w:tcPr>
          <w:p>
            <w:pPr>
              <w:pStyle w:val="nTable"/>
              <w:spacing w:after="40"/>
            </w:pPr>
            <w:r>
              <w:rPr>
                <w:i/>
              </w:rPr>
              <w:t>Health (Offences and Penalties) Amendment Regulations 1988</w:t>
            </w:r>
            <w:r>
              <w:t xml:space="preserve"> Pt. 2</w:t>
            </w:r>
          </w:p>
        </w:tc>
        <w:tc>
          <w:tcPr>
            <w:tcW w:w="1276" w:type="dxa"/>
          </w:tcPr>
          <w:p>
            <w:pPr>
              <w:pStyle w:val="nTable"/>
              <w:spacing w:after="40"/>
            </w:pPr>
            <w:r>
              <w:t>14 Oct 1988 p. 4160-3</w:t>
            </w:r>
          </w:p>
        </w:tc>
        <w:tc>
          <w:tcPr>
            <w:tcW w:w="2693" w:type="dxa"/>
          </w:tcPr>
          <w:p>
            <w:pPr>
              <w:pStyle w:val="nTable"/>
              <w:spacing w:after="40"/>
            </w:pPr>
            <w:r>
              <w:t>14 Oct 1988</w:t>
            </w:r>
          </w:p>
        </w:tc>
      </w:tr>
      <w:tr>
        <w:tblPrEx>
          <w:tblBorders>
            <w:top w:val="none" w:sz="0" w:space="0" w:color="auto"/>
            <w:bottom w:val="none" w:sz="0" w:space="0" w:color="auto"/>
            <w:insideH w:val="none" w:sz="0" w:space="0" w:color="auto"/>
          </w:tblBorders>
        </w:tblPrEx>
        <w:tc>
          <w:tcPr>
            <w:tcW w:w="3118" w:type="dxa"/>
          </w:tcPr>
          <w:p>
            <w:pPr>
              <w:pStyle w:val="nTable"/>
              <w:spacing w:after="40"/>
            </w:pPr>
            <w:r>
              <w:rPr>
                <w:i/>
              </w:rPr>
              <w:t>Equality of Status Subsidiary Legislation Amendment Regulations 2003</w:t>
            </w:r>
            <w:r>
              <w:t xml:space="preserve"> Pt. 8</w:t>
            </w:r>
          </w:p>
        </w:tc>
        <w:tc>
          <w:tcPr>
            <w:tcW w:w="1276" w:type="dxa"/>
          </w:tcPr>
          <w:p>
            <w:pPr>
              <w:pStyle w:val="nTable"/>
              <w:spacing w:after="40"/>
            </w:pPr>
            <w:r>
              <w:t>30 Jun 2003 p. 2581</w:t>
            </w:r>
            <w:r>
              <w:noBreakHyphen/>
              <w:t>638</w:t>
            </w:r>
          </w:p>
        </w:tc>
        <w:tc>
          <w:tcPr>
            <w:tcW w:w="2693" w:type="dxa"/>
          </w:tcPr>
          <w:p>
            <w:pPr>
              <w:pStyle w:val="nTable"/>
              <w:spacing w:after="40"/>
            </w:pPr>
            <w:r>
              <w:t xml:space="preserve">1 Jul 2003 (see r. 2 and </w:t>
            </w:r>
            <w:r>
              <w:rPr>
                <w:i/>
              </w:rPr>
              <w:t xml:space="preserve">Gazette </w:t>
            </w:r>
            <w:r>
              <w:t>30 Jun 2003 p. 2579)</w:t>
            </w:r>
          </w:p>
        </w:tc>
      </w:tr>
      <w:tr>
        <w:tblPrEx>
          <w:tblBorders>
            <w:top w:val="none" w:sz="0" w:space="0" w:color="auto"/>
            <w:bottom w:val="none" w:sz="0" w:space="0" w:color="auto"/>
            <w:insideH w:val="none" w:sz="0" w:space="0" w:color="auto"/>
          </w:tblBorders>
        </w:tblPrEx>
        <w:trPr>
          <w:cantSplit/>
        </w:trPr>
        <w:tc>
          <w:tcPr>
            <w:tcW w:w="7087" w:type="dxa"/>
            <w:gridSpan w:val="3"/>
          </w:tcPr>
          <w:p>
            <w:pPr>
              <w:pStyle w:val="nTable"/>
              <w:spacing w:after="40"/>
            </w:pPr>
            <w:r>
              <w:rPr>
                <w:b/>
              </w:rPr>
              <w:t>Reprint 2:</w:t>
            </w:r>
            <w:r>
              <w:t xml:space="preserve"> </w:t>
            </w:r>
            <w:r>
              <w:rPr>
                <w:b/>
              </w:rPr>
              <w:t xml:space="preserve">The </w:t>
            </w:r>
            <w:r>
              <w:rPr>
                <w:b/>
                <w:i/>
              </w:rPr>
              <w:t xml:space="preserve">Construction Camp Regulations </w:t>
            </w:r>
            <w:r>
              <w:rPr>
                <w:b/>
              </w:rPr>
              <w:t xml:space="preserve">as at 5 Dec 2003 </w:t>
            </w:r>
            <w:r>
              <w:t>(includes amendments listed above)</w:t>
            </w:r>
            <w:r>
              <w:rPr>
                <w:color w:val="0000FF"/>
              </w:rPr>
              <w:t xml:space="preserve"> </w:t>
            </w:r>
            <w:r>
              <w:t xml:space="preserve">(correction in </w:t>
            </w:r>
            <w:r>
              <w:rPr>
                <w:i/>
              </w:rPr>
              <w:t>Gazette</w:t>
            </w:r>
            <w:r>
              <w:t xml:space="preserve"> 13 Jan 2004 p. 146)</w:t>
            </w:r>
          </w:p>
        </w:tc>
      </w:tr>
      <w:tr>
        <w:tc>
          <w:tcPr>
            <w:tcW w:w="3118" w:type="dxa"/>
            <w:tcBorders>
              <w:top w:val="nil"/>
              <w:bottom w:val="nil"/>
            </w:tcBorders>
          </w:tcPr>
          <w:p>
            <w:pPr>
              <w:pStyle w:val="nTable"/>
              <w:spacing w:after="40"/>
            </w:pPr>
            <w:r>
              <w:rPr>
                <w:i/>
              </w:rPr>
              <w:t>Construction Camp Amendment Regulations 2013</w:t>
            </w:r>
          </w:p>
        </w:tc>
        <w:tc>
          <w:tcPr>
            <w:tcW w:w="1276" w:type="dxa"/>
            <w:tcBorders>
              <w:top w:val="nil"/>
              <w:bottom w:val="nil"/>
            </w:tcBorders>
          </w:tcPr>
          <w:p>
            <w:pPr>
              <w:pStyle w:val="nTable"/>
              <w:spacing w:after="40"/>
            </w:pPr>
            <w:r>
              <w:t>14 Nov 2013 p. 5031-2</w:t>
            </w:r>
          </w:p>
        </w:tc>
        <w:tc>
          <w:tcPr>
            <w:tcW w:w="2693" w:type="dxa"/>
            <w:tcBorders>
              <w:top w:val="nil"/>
              <w:bottom w:val="nil"/>
            </w:tcBorders>
          </w:tcPr>
          <w:p>
            <w:pPr>
              <w:pStyle w:val="nTable"/>
              <w:spacing w:after="40"/>
            </w:pPr>
            <w:r>
              <w:t>r. 1 and 2: 14 Nov 2013 (see r. 2(a));</w:t>
            </w:r>
            <w:r>
              <w:br/>
              <w:t xml:space="preserve">Regulations other than r. 1 and 2: 18 Nov 2013 (see r. 2(b) and </w:t>
            </w:r>
            <w:r>
              <w:rPr>
                <w:i/>
              </w:rPr>
              <w:t>Gazette</w:t>
            </w:r>
            <w:r>
              <w:t xml:space="preserve"> 14 Nov 2013 p. 5027)</w:t>
            </w:r>
          </w:p>
        </w:tc>
      </w:tr>
      <w:tr>
        <w:tblPrEx>
          <w:tblBorders>
            <w:top w:val="none" w:sz="0" w:space="0" w:color="auto"/>
            <w:bottom w:val="none" w:sz="0" w:space="0" w:color="auto"/>
            <w:insideH w:val="none" w:sz="0" w:space="0" w:color="auto"/>
          </w:tblBorders>
        </w:tblPrEx>
        <w:tc>
          <w:tcPr>
            <w:tcW w:w="7087" w:type="dxa"/>
            <w:gridSpan w:val="3"/>
            <w:tcBorders>
              <w:bottom w:val="single" w:sz="4" w:space="0" w:color="auto"/>
            </w:tcBorders>
          </w:tcPr>
          <w:p>
            <w:pPr>
              <w:pStyle w:val="nTable"/>
              <w:spacing w:after="40"/>
              <w:rPr>
                <w:b/>
                <w:bCs/>
              </w:rPr>
            </w:pPr>
            <w:r>
              <w:rPr>
                <w:b/>
                <w:bCs/>
                <w:color w:val="FF0000"/>
              </w:rPr>
              <w:t xml:space="preserve">These regulations were repealed by the </w:t>
            </w:r>
            <w:r>
              <w:rPr>
                <w:b/>
                <w:bCs/>
                <w:i/>
                <w:iCs/>
                <w:color w:val="FF0000"/>
              </w:rPr>
              <w:t>Health Regulations Repeal Regulations (No. 3) 2024</w:t>
            </w:r>
            <w:r>
              <w:rPr>
                <w:b/>
                <w:bCs/>
                <w:color w:val="FF0000"/>
              </w:rPr>
              <w:t xml:space="preserve"> r. 3(a) on 4 Jun 2024 (see SL 2024/67 r. 2(b))</w:t>
            </w:r>
          </w:p>
        </w:tc>
      </w:tr>
    </w:tbl>
    <w:p>
      <w:pPr>
        <w:sectPr>
          <w:headerReference w:type="even" r:id="rId23"/>
          <w:headerReference w:type="default" r:id="rId24"/>
          <w:pgSz w:w="11907" w:h="16840" w:code="9"/>
          <w:pgMar w:top="2376" w:right="2404" w:bottom="3544" w:left="2404" w:header="720" w:footer="3544" w:gutter="0"/>
          <w:cols w:space="720"/>
          <w:noEndnote/>
          <w:docGrid w:linePitch="326"/>
        </w:sectPr>
      </w:pPr>
    </w:p>
    <w:p>
      <w:pPr>
        <w:pStyle w:val="nHeading2"/>
        <w:rPr>
          <w:sz w:val="28"/>
        </w:rPr>
      </w:pPr>
      <w:bookmarkStart w:id="64" w:name="_Toc167786046"/>
      <w:bookmarkStart w:id="65" w:name="_Toc167786318"/>
      <w:bookmarkStart w:id="66" w:name="_Toc167798666"/>
      <w:r>
        <w:rPr>
          <w:sz w:val="28"/>
        </w:rPr>
        <w:lastRenderedPageBreak/>
        <w:t>Defined terms</w:t>
      </w:r>
      <w:bookmarkEnd w:id="64"/>
      <w:bookmarkEnd w:id="65"/>
      <w:bookmarkEnd w:id="66"/>
    </w:p>
    <w:p>
      <w:pPr>
        <w:ind w:left="850" w:right="850"/>
        <w:jc w:val="center"/>
        <w:rPr>
          <w:i/>
          <w:sz w:val="18"/>
        </w:rPr>
      </w:pPr>
    </w:p>
    <w:p>
      <w:pPr>
        <w:ind w:left="850" w:right="850"/>
        <w:jc w:val="center"/>
        <w:rPr>
          <w:i/>
          <w:sz w:val="18"/>
        </w:rPr>
      </w:pPr>
      <w:r>
        <w:rPr>
          <w:i/>
          <w:sz w:val="18"/>
        </w:rPr>
        <w:t>[This is a list of terms defined and the provisions where they are defined.  The list is not part of the law.]</w:t>
      </w:r>
    </w:p>
    <w:p>
      <w:pPr>
        <w:pBdr>
          <w:bottom w:val="single" w:sz="4" w:space="1" w:color="auto"/>
        </w:pBdr>
        <w:tabs>
          <w:tab w:val="right" w:pos="7070"/>
        </w:tabs>
        <w:ind w:left="578"/>
        <w:rPr>
          <w:b/>
          <w:sz w:val="20"/>
        </w:rPr>
      </w:pPr>
      <w:r>
        <w:rPr>
          <w:b/>
          <w:sz w:val="20"/>
        </w:rPr>
        <w:t>Defined term</w:t>
      </w:r>
      <w:r>
        <w:rPr>
          <w:b/>
          <w:sz w:val="20"/>
        </w:rPr>
        <w:tab/>
        <w:t>Provision(s)</w:t>
      </w:r>
    </w:p>
    <w:p>
      <w:pPr>
        <w:pStyle w:val="DefinedTerms"/>
      </w:pPr>
      <w:r>
        <w:t>ablutionary or sanitary caravan</w:t>
      </w:r>
      <w:r>
        <w:tab/>
        <w:t>28</w:t>
      </w:r>
    </w:p>
    <w:p>
      <w:pPr>
        <w:pStyle w:val="DefinedTerms"/>
      </w:pPr>
      <w:r>
        <w:t>artificial light</w:t>
      </w:r>
      <w:r>
        <w:tab/>
        <w:t>5, 28</w:t>
      </w:r>
    </w:p>
    <w:p>
      <w:pPr>
        <w:pStyle w:val="DefinedTerms"/>
      </w:pPr>
      <w:r>
        <w:t>construction camp</w:t>
      </w:r>
      <w:r>
        <w:tab/>
        <w:t>5, 28</w:t>
      </w:r>
    </w:p>
    <w:p>
      <w:pPr>
        <w:pStyle w:val="DefinedTerms"/>
      </w:pPr>
      <w:r>
        <w:t>dining caravan</w:t>
      </w:r>
      <w:r>
        <w:tab/>
        <w:t>28</w:t>
      </w:r>
    </w:p>
    <w:p>
      <w:pPr>
        <w:pStyle w:val="DefinedTerms"/>
      </w:pPr>
      <w:r>
        <w:t>dining room</w:t>
      </w:r>
      <w:r>
        <w:tab/>
        <w:t>5</w:t>
      </w:r>
    </w:p>
    <w:p>
      <w:pPr>
        <w:pStyle w:val="DefinedTerms"/>
      </w:pPr>
      <w:r>
        <w:t>effective air conditioning</w:t>
      </w:r>
      <w:r>
        <w:tab/>
        <w:t>5</w:t>
      </w:r>
    </w:p>
    <w:p>
      <w:pPr>
        <w:pStyle w:val="DefinedTerms"/>
      </w:pPr>
      <w:r>
        <w:t>effectively air conditioned</w:t>
      </w:r>
      <w:r>
        <w:tab/>
        <w:t>5</w:t>
      </w:r>
    </w:p>
    <w:p>
      <w:pPr>
        <w:pStyle w:val="DefinedTerms"/>
      </w:pPr>
      <w:r>
        <w:t>kitchen</w:t>
      </w:r>
      <w:r>
        <w:tab/>
        <w:t>5</w:t>
      </w:r>
    </w:p>
    <w:p>
      <w:pPr>
        <w:pStyle w:val="DefinedTerms"/>
      </w:pPr>
      <w:r>
        <w:t>kitchen caravan</w:t>
      </w:r>
      <w:r>
        <w:tab/>
        <w:t>28</w:t>
      </w:r>
    </w:p>
    <w:p>
      <w:pPr>
        <w:pStyle w:val="DefinedTerms"/>
      </w:pPr>
      <w:r>
        <w:t>occupier</w:t>
      </w:r>
      <w:r>
        <w:tab/>
        <w:t>5</w:t>
      </w:r>
    </w:p>
    <w:p>
      <w:pPr>
        <w:pStyle w:val="DefinedTerms"/>
      </w:pPr>
      <w:r>
        <w:t>office caravan</w:t>
      </w:r>
      <w:r>
        <w:tab/>
        <w:t>28</w:t>
      </w:r>
    </w:p>
    <w:p>
      <w:pPr>
        <w:pStyle w:val="DefinedTerms"/>
      </w:pPr>
      <w:r>
        <w:t>residential caravan</w:t>
      </w:r>
      <w:r>
        <w:tab/>
        <w:t>28</w:t>
      </w:r>
    </w:p>
    <w:p>
      <w:pPr>
        <w:pStyle w:val="DefinedTerms"/>
      </w:pPr>
      <w:r>
        <w:t>sleeping caravan</w:t>
      </w:r>
      <w:r>
        <w:tab/>
        <w:t>28</w:t>
      </w:r>
    </w:p>
    <w:p>
      <w:pPr>
        <w:pStyle w:val="DefinedTerms"/>
      </w:pPr>
      <w:r>
        <w:t>sleeping quarters</w:t>
      </w:r>
      <w:r>
        <w:tab/>
        <w:t>5</w:t>
      </w:r>
    </w:p>
    <w:p>
      <w:pPr>
        <w:pStyle w:val="DefinedTerms"/>
      </w:pPr>
      <w:r>
        <w:t>toilet compartment</w:t>
      </w:r>
      <w:r>
        <w:tab/>
        <w:t>28</w:t>
      </w:r>
    </w:p>
    <w:p/>
    <w:p>
      <w:pPr>
        <w:sectPr>
          <w:headerReference w:type="even" r:id="rId25"/>
          <w:headerReference w:type="default" r:id="rId26"/>
          <w:pgSz w:w="11907" w:h="16840" w:code="9"/>
          <w:pgMar w:top="2381" w:right="2409" w:bottom="3543" w:left="2409" w:header="720" w:footer="3544" w:gutter="0"/>
          <w:cols w:space="720"/>
          <w:noEndnote/>
          <w:docGrid w:linePitch="326"/>
        </w:sectPr>
      </w:pPr>
    </w:p>
    <w:p>
      <w:r>
        <w:rPr>
          <w:noProof/>
        </w:rPr>
        <mc:AlternateContent>
          <mc:Choice Requires="wps">
            <w:drawing>
              <wp:anchor distT="0" distB="0" distL="114300" distR="114300" simplePos="0" relativeHeight="251660288" behindDoc="0" locked="0" layoutInCell="1" allowOverlap="1">
                <wp:simplePos x="0" y="0"/>
                <wp:positionH relativeFrom="page">
                  <wp:align>center</wp:align>
                </wp:positionH>
                <wp:positionV relativeFrom="page">
                  <wp:posOffset>7505700</wp:posOffset>
                </wp:positionV>
                <wp:extent cx="127000" cy="647700"/>
                <wp:effectExtent l="0" t="0" r="1905" b="0"/>
                <wp:wrapNone/>
                <wp:docPr id="1" name="Authority"/>
                <wp:cNvGraphicFramePr/>
                <a:graphic xmlns:a="http://schemas.openxmlformats.org/drawingml/2006/main">
                  <a:graphicData uri="http://schemas.microsoft.com/office/word/2010/wordprocessingShape">
                    <wps:wsp>
                      <wps:cNvSpPr txBox="1"/>
                      <wps:spPr>
                        <a:xfrm>
                          <a:off x="0" y="0"/>
                          <a:ext cx="127000" cy="647700"/>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pPr>
                              <w:ind w:left="2835" w:right="2268"/>
                              <w:rPr>
                                <w:sz w:val="16"/>
                              </w:rPr>
                            </w:pPr>
                            <w:r>
                              <w:rPr>
                                <w:sz w:val="16"/>
                              </w:rPr>
                              <w:t xml:space="preserve">© State of Western Australia </w:t>
                            </w:r>
                            <w:r>
                              <w:rPr>
                                <w:sz w:val="16"/>
                              </w:rPr>
                              <w:fldChar w:fldCharType="begin"/>
                            </w:r>
                            <w:r>
                              <w:rPr>
                                <w:sz w:val="16"/>
                              </w:rPr>
                              <w:instrText xml:space="preserve"> DOCPROPERTY CommencementYear</w:instrText>
                            </w:r>
                            <w:r>
                              <w:rPr>
                                <w:sz w:val="16"/>
                              </w:rPr>
                              <w:fldChar w:fldCharType="separate"/>
                            </w:r>
                            <w:r>
                              <w:rPr>
                                <w:sz w:val="16"/>
                              </w:rPr>
                              <w:t>2024</w:t>
                            </w:r>
                            <w:r>
                              <w:rPr>
                                <w:sz w:val="16"/>
                              </w:rPr>
                              <w:fldChar w:fldCharType="end"/>
                            </w:r>
                            <w:r>
                              <w:rPr>
                                <w:sz w:val="16"/>
                              </w:rPr>
                              <w:t>.</w:t>
                            </w:r>
                          </w:p>
                          <w:p>
                            <w:pPr>
                              <w:ind w:left="2835" w:right="2268"/>
                              <w:rPr>
                                <w:sz w:val="16"/>
                              </w:rPr>
                            </w:pPr>
                            <w:r>
                              <w:rPr>
                                <w:sz w:val="16"/>
                              </w:rPr>
                              <w:t xml:space="preserve">This work is licensed under a Creative Commons Attribution 4.0 International Licence (CC BY 4.0). To view relevant information and for a link to a copy of the licence, visit </w:t>
                            </w:r>
                            <w:r>
                              <w:rPr>
                                <w:sz w:val="16"/>
                                <w:u w:val="single"/>
                              </w:rPr>
                              <w:t>www.legislation.wa.gov.au</w:t>
                            </w:r>
                            <w:r>
                              <w:rPr>
                                <w:sz w:val="16"/>
                              </w:rPr>
                              <w:t>.</w:t>
                            </w:r>
                          </w:p>
                          <w:p>
                            <w:pPr>
                              <w:ind w:left="2835" w:right="2268"/>
                              <w:rPr>
                                <w:sz w:val="16"/>
                              </w:rPr>
                            </w:pPr>
                            <w:r>
                              <w:rPr>
                                <w:sz w:val="16"/>
                              </w:rPr>
                              <w:t xml:space="preserve">Attribute work as: © State of Western Australia </w:t>
                            </w:r>
                            <w:r>
                              <w:rPr>
                                <w:sz w:val="16"/>
                              </w:rPr>
                              <w:fldChar w:fldCharType="begin"/>
                            </w:r>
                            <w:r>
                              <w:rPr>
                                <w:sz w:val="16"/>
                              </w:rPr>
                              <w:instrText xml:space="preserve"> DOCPROPERTY CommencementYear</w:instrText>
                            </w:r>
                            <w:r>
                              <w:rPr>
                                <w:sz w:val="16"/>
                              </w:rPr>
                              <w:fldChar w:fldCharType="separate"/>
                            </w:r>
                            <w:r>
                              <w:rPr>
                                <w:sz w:val="16"/>
                              </w:rPr>
                              <w:t>2024</w:t>
                            </w:r>
                            <w:r>
                              <w:rPr>
                                <w:sz w:val="16"/>
                              </w:rPr>
                              <w:fldChar w:fldCharType="end"/>
                            </w:r>
                            <w:r>
                              <w:rPr>
                                <w:sz w:val="16"/>
                              </w:rPr>
                              <w:t>.</w:t>
                            </w:r>
                          </w:p>
                          <w:p>
                            <w:pPr>
                              <w:ind w:left="2438" w:right="2098"/>
                              <w:jc w:val="center"/>
                              <w:rPr>
                                <w:rFonts w:ascii="Arial" w:hAnsi="Arial" w:cs="Arial"/>
                                <w:sz w:val="12"/>
                              </w:rPr>
                            </w:pPr>
                            <w:r>
                              <w:rPr>
                                <w:rFonts w:ascii="Arial" w:hAnsi="Arial" w:cs="Arial"/>
                                <w:sz w:val="12"/>
                              </w:rPr>
                              <w:t>By Authority: GEOFF O. LAWN, Government Printer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shapetype w14:anchorId="3CD83D90" id="_x0000_t202" coordsize="21600,21600" o:spt="202" path="m,l,21600r21600,l21600,xe">
                <v:stroke joinstyle="miter"/>
                <v:path gradientshapeok="t" o:connecttype="rect"/>
              </v:shapetype>
              <v:shape id="Authority" o:spid="_x0000_s1026" type="#_x0000_t202" style="position:absolute;margin-left:0;margin-top:591pt;width:10pt;height:51pt;z-index:251660288;visibility:visible;mso-wrap-style:square;mso-width-percent:1000;mso-height-percent:0;mso-wrap-distance-left:9pt;mso-wrap-distance-top:0;mso-wrap-distance-right:9pt;mso-wrap-distance-bottom:0;mso-position-horizontal:center;mso-position-horizontal-relative:page;mso-position-vertical:absolute;mso-position-vertical-relative:page;mso-width-percent:100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" stroked="f" strokeweight=".5pt">
                <v:textbox>
                  <w:txbxContent>
                    <w:p w14:paraId="2FB13F22" w14:textId="021B40A0" w:rsidR="00E1081E" w:rsidRDefault="00B6175A">
                      <w:pPr>
                        <w:ind w:left="2835" w:right="2268"/>
                        <w:rPr>
                          <w:sz w:val="16"/>
                        </w:rPr>
                      </w:pPr>
                      <w:r>
                        <w:rPr>
                          <w:sz w:val="16"/>
                        </w:rPr>
                        <w:t xml:space="preserve">© State of Western Australia </w:t>
                      </w:r>
                      <w:r>
                        <w:rPr>
                          <w:sz w:val="16"/>
                        </w:rPr>
                        <w:fldChar w:fldCharType="begin"/>
                      </w:r>
                      <w:r>
                        <w:rPr>
                          <w:sz w:val="16"/>
                        </w:rPr>
                        <w:instrText xml:space="preserve"> DOCPROPERTY CommencementYear</w:instrText>
                      </w:r>
                      <w:r>
                        <w:rPr>
                          <w:sz w:val="16"/>
                        </w:rPr>
                        <w:fldChar w:fldCharType="separate"/>
                      </w:r>
                      <w:r w:rsidR="00AC44BB">
                        <w:rPr>
                          <w:sz w:val="16"/>
                        </w:rPr>
                        <w:t>2024</w:t>
                      </w:r>
                      <w:r>
                        <w:rPr>
                          <w:sz w:val="16"/>
                        </w:rPr>
                        <w:fldChar w:fldCharType="end"/>
                      </w:r>
                      <w:r>
                        <w:rPr>
                          <w:sz w:val="16"/>
                        </w:rPr>
                        <w:t>.</w:t>
                      </w:r>
                    </w:p>
                    <w:p w14:paraId="3DCFBB91" w14:textId="77777777" w:rsidR="00E1081E" w:rsidRDefault="00B6175A">
                      <w:pPr>
                        <w:ind w:left="2835" w:right="2268"/>
                        <w:rPr>
                          <w:sz w:val="16"/>
                        </w:rPr>
                      </w:pPr>
                      <w:r>
                        <w:rPr>
                          <w:sz w:val="16"/>
                        </w:rPr>
                        <w:t xml:space="preserve">This work is licensed under a Creative Commons Attribution 4.0 International Licence (CC BY 4.0). To view relevant information and for a link to a copy of the licence, visit </w:t>
                      </w:r>
                      <w:r>
                        <w:rPr>
                          <w:sz w:val="16"/>
                          <w:u w:val="single"/>
                        </w:rPr>
                        <w:t>www.legislation.wa.gov.au</w:t>
                      </w:r>
                      <w:r>
                        <w:rPr>
                          <w:sz w:val="16"/>
                        </w:rPr>
                        <w:t>.</w:t>
                      </w:r>
                    </w:p>
                    <w:p w14:paraId="655B76B3" w14:textId="6FEF316D" w:rsidR="00E1081E" w:rsidRDefault="00B6175A">
                      <w:pPr>
                        <w:ind w:left="2835" w:right="2268"/>
                        <w:rPr>
                          <w:sz w:val="16"/>
                        </w:rPr>
                      </w:pPr>
                      <w:r>
                        <w:rPr>
                          <w:sz w:val="16"/>
                        </w:rPr>
                        <w:t xml:space="preserve">Attribute work as: © State of Western Australia </w:t>
                      </w:r>
                      <w:r>
                        <w:rPr>
                          <w:sz w:val="16"/>
                        </w:rPr>
                        <w:fldChar w:fldCharType="begin"/>
                      </w:r>
                      <w:r>
                        <w:rPr>
                          <w:sz w:val="16"/>
                        </w:rPr>
                        <w:instrText xml:space="preserve"> DOCPROPERTY CommencementYear</w:instrText>
                      </w:r>
                      <w:r>
                        <w:rPr>
                          <w:sz w:val="16"/>
                        </w:rPr>
                        <w:fldChar w:fldCharType="separate"/>
                      </w:r>
                      <w:r w:rsidR="00AC44BB">
                        <w:rPr>
                          <w:sz w:val="16"/>
                        </w:rPr>
                        <w:t>2024</w:t>
                      </w:r>
                      <w:r>
                        <w:rPr>
                          <w:sz w:val="16"/>
                        </w:rPr>
                        <w:fldChar w:fldCharType="end"/>
                      </w:r>
                      <w:r>
                        <w:rPr>
                          <w:sz w:val="16"/>
                        </w:rPr>
                        <w:t>.</w:t>
                      </w:r>
                    </w:p>
                    <w:p w14:paraId="00E5A6BE" w14:textId="77777777" w:rsidR="00E1081E" w:rsidRDefault="00B6175A">
                      <w:pPr>
                        <w:ind w:left="2438" w:right="2098"/>
                        <w:jc w:val="center"/>
                        <w:rPr>
                          <w:rFonts w:ascii="Arial" w:hAnsi="Arial" w:cs="Arial"/>
                          <w:sz w:val="12"/>
                        </w:rPr>
                      </w:pPr>
                      <w:r>
                        <w:rPr>
                          <w:rFonts w:ascii="Arial" w:hAnsi="Arial" w:cs="Arial"/>
                          <w:sz w:val="12"/>
                        </w:rPr>
                        <w:t>By Authority: GEOFF O. LAWN, Government Printer</w:t>
                      </w:r>
                    </w:p>
                  </w:txbxContent>
                </v:textbox>
                <w10:wrap anchorx="page" anchory="page"/>
              </v:shape>
            </w:pict>
          </mc:Fallback>
        </mc:AlternateContent>
      </w:r>
    </w:p>
    <w:sectPr>
      <w:headerReference w:type="even" r:id="rId27"/>
      <w:headerReference w:type="default" r:id="rId28"/>
      <w:footerReference w:type="even" r:id="rId29"/>
      <w:footerReference w:type="default" r:id="rId30"/>
      <w:headerReference w:type="first" r:id="rId31"/>
      <w:footerReference w:type="first" r:id="rId32"/>
      <w:type w:val="continuous"/>
      <w:pgSz w:w="11907" w:h="16840" w:code="9"/>
      <w:pgMar w:top="2376" w:right="2404" w:bottom="3544" w:left="2404" w:header="720" w:footer="3544"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Helvetica">
    <w:panose1 w:val="020B05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Bdr>
        <w:bottom w:val="single" w:sz="4" w:space="1" w:color="auto"/>
      </w:pBdr>
      <w:rPr>
        <w:sz w:val="20"/>
      </w:rPr>
    </w:pPr>
  </w:p>
  <w:p>
    <w:pPr>
      <w:pStyle w:val="Footer"/>
      <w:tabs>
        <w:tab w:val="center" w:pos="3600"/>
        <w:tab w:val="right" w:pos="7080"/>
      </w:tabs>
      <w:rPr>
        <w:sz w:val="20"/>
      </w:rPr>
    </w:pPr>
    <w:r>
      <w:rPr>
        <w:sz w:val="20"/>
      </w:rPr>
      <w:tab/>
    </w:r>
    <w:r>
      <w:rPr>
        <w:sz w:val="20"/>
      </w:rPr>
      <w:fldChar w:fldCharType="begin"/>
    </w:r>
    <w:r>
      <w:rPr>
        <w:sz w:val="20"/>
      </w:rPr>
      <w:instrText xml:space="preserve"> DOCPROPERTY "Official" </w:instrText>
    </w:r>
    <w:r>
      <w:rPr>
        <w:sz w:val="20"/>
      </w:rPr>
      <w:fldChar w:fldCharType="end"/>
    </w:r>
    <w:r>
      <w:rPr>
        <w:sz w:val="20"/>
      </w:rPr>
      <w:tab/>
      <w:t xml:space="preserve">Ceased </w:t>
    </w:r>
    <w:r>
      <w:rPr>
        <w:sz w:val="20"/>
      </w:rPr>
      <w:fldChar w:fldCharType="begin"/>
    </w:r>
    <w:r>
      <w:rPr>
        <w:sz w:val="20"/>
      </w:rPr>
      <w:instrText xml:space="preserve"> DOCPROPERTY "AsAtDate" </w:instrText>
    </w:r>
    <w:r>
      <w:rPr>
        <w:sz w:val="20"/>
      </w:rPr>
      <w:fldChar w:fldCharType="separate"/>
    </w:r>
    <w:r>
      <w:rPr>
        <w:sz w:val="20"/>
      </w:rPr>
      <w:t>04 Jun 2024</w:t>
    </w:r>
    <w:r>
      <w:rPr>
        <w:sz w:val="20"/>
      </w:rPr>
      <w:fldChar w:fldCharType="end"/>
    </w:r>
  </w:p>
  <w:p>
    <w:pPr>
      <w:pStyle w:val="Footer"/>
      <w:tabs>
        <w:tab w:val="center" w:pos="3600"/>
        <w:tab w:val="right" w:pos="7080"/>
      </w:tabs>
      <w:rPr>
        <w:sz w:val="16"/>
      </w:rPr>
    </w:pPr>
    <w:r>
      <w:rPr>
        <w:sz w:val="16"/>
      </w:rPr>
      <w:tab/>
      <w:t>Published on www.legislation.wa.gov.au</w:t>
    </w:r>
    <w:r>
      <w:rPr>
        <w:sz w:val="16"/>
      </w:rPr>
      <w:tab/>
      <w:t xml:space="preserve">[PCO </w:t>
    </w:r>
    <w:r>
      <w:rPr>
        <w:sz w:val="16"/>
      </w:rPr>
      <w:fldChar w:fldCharType="begin"/>
    </w:r>
    <w:r>
      <w:rPr>
        <w:sz w:val="16"/>
      </w:rPr>
      <w:instrText xml:space="preserve"> DOCPROPERTY "Suffix" </w:instrText>
    </w:r>
    <w:r>
      <w:rPr>
        <w:sz w:val="16"/>
      </w:rPr>
      <w:fldChar w:fldCharType="separate"/>
    </w:r>
    <w:r>
      <w:rPr>
        <w:sz w:val="16"/>
      </w:rPr>
      <w:t>02-e0-00</w:t>
    </w:r>
    <w:r>
      <w:rPr>
        <w:sz w:val="16"/>
      </w:rPr>
      <w:fldChar w:fldCharType="end"/>
    </w:r>
    <w:r>
      <w:rPr>
        <w:sz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Bdr>
        <w:bottom w:val="single" w:sz="4" w:space="1" w:color="auto"/>
      </w:pBdr>
      <w:rPr>
        <w:sz w:val="20"/>
      </w:rPr>
    </w:pPr>
  </w:p>
  <w:p>
    <w:pPr>
      <w:pStyle w:val="Footer"/>
      <w:tabs>
        <w:tab w:val="center" w:pos="3600"/>
        <w:tab w:val="right" w:pos="7080"/>
      </w:tabs>
      <w:rPr>
        <w:sz w:val="20"/>
      </w:rPr>
    </w:pPr>
    <w:r>
      <w:rPr>
        <w:sz w:val="20"/>
      </w:rPr>
      <w:t xml:space="preserve">Ceased </w:t>
    </w:r>
    <w:r>
      <w:rPr>
        <w:sz w:val="20"/>
      </w:rPr>
      <w:fldChar w:fldCharType="begin"/>
    </w:r>
    <w:r>
      <w:rPr>
        <w:sz w:val="20"/>
      </w:rPr>
      <w:instrText xml:space="preserve"> DOCPROPERTY "AsAtDate" </w:instrText>
    </w:r>
    <w:r>
      <w:rPr>
        <w:sz w:val="20"/>
      </w:rPr>
      <w:fldChar w:fldCharType="separate"/>
    </w:r>
    <w:r>
      <w:rPr>
        <w:sz w:val="20"/>
      </w:rPr>
      <w:t>04 Jun 2024</w:t>
    </w:r>
    <w:r>
      <w:rPr>
        <w:sz w:val="20"/>
      </w:rPr>
      <w:fldChar w:fldCharType="end"/>
    </w:r>
    <w:r>
      <w:rPr>
        <w:sz w:val="20"/>
      </w:rPr>
      <w:tab/>
    </w:r>
    <w:r>
      <w:rPr>
        <w:sz w:val="20"/>
      </w:rPr>
      <w:fldChar w:fldCharType="begin"/>
    </w:r>
    <w:r>
      <w:rPr>
        <w:sz w:val="20"/>
      </w:rPr>
      <w:instrText xml:space="preserve"> DOCPROPERTY "Official" </w:instrText>
    </w:r>
    <w:r>
      <w:rPr>
        <w:sz w:val="20"/>
      </w:rPr>
      <w:fldChar w:fldCharType="end"/>
    </w:r>
  </w:p>
  <w:p>
    <w:pPr>
      <w:pStyle w:val="Footer"/>
      <w:tabs>
        <w:tab w:val="center" w:pos="3600"/>
        <w:tab w:val="right" w:pos="7080"/>
      </w:tabs>
      <w:rPr>
        <w:sz w:val="16"/>
      </w:rPr>
    </w:pPr>
    <w:r>
      <w:rPr>
        <w:sz w:val="16"/>
      </w:rPr>
      <w:t xml:space="preserve">[PCO </w:t>
    </w:r>
    <w:r>
      <w:rPr>
        <w:sz w:val="16"/>
      </w:rPr>
      <w:fldChar w:fldCharType="begin"/>
    </w:r>
    <w:r>
      <w:rPr>
        <w:sz w:val="16"/>
      </w:rPr>
      <w:instrText xml:space="preserve"> DOCPROPERTY "Suffix" </w:instrText>
    </w:r>
    <w:r>
      <w:rPr>
        <w:sz w:val="16"/>
      </w:rPr>
      <w:fldChar w:fldCharType="separate"/>
    </w:r>
    <w:r>
      <w:rPr>
        <w:sz w:val="16"/>
      </w:rPr>
      <w:t>02-e0-00</w:t>
    </w:r>
    <w:r>
      <w:rPr>
        <w:sz w:val="16"/>
      </w:rPr>
      <w:fldChar w:fldCharType="end"/>
    </w:r>
    <w:r>
      <w:rPr>
        <w:sz w:val="16"/>
      </w:rPr>
      <w:t>]</w:t>
    </w:r>
    <w:r>
      <w:rPr>
        <w:sz w:val="16"/>
      </w:rPr>
      <w:tab/>
      <w:t>Published on www.legislation.wa.gov.au</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Bdr>
        <w:bottom w:val="single" w:sz="4" w:space="1" w:color="auto"/>
      </w:pBdr>
      <w:rPr>
        <w:sz w:val="20"/>
      </w:rPr>
    </w:pPr>
  </w:p>
  <w:p>
    <w:pPr>
      <w:pStyle w:val="Footer"/>
      <w:tabs>
        <w:tab w:val="center" w:pos="3600"/>
        <w:tab w:val="right" w:pos="7080"/>
      </w:tabs>
      <w:rPr>
        <w:sz w:val="20"/>
      </w:rPr>
    </w:pPr>
    <w:r>
      <w:rPr>
        <w:sz w:val="20"/>
      </w:rPr>
      <w:t xml:space="preserve">Ceased </w:t>
    </w:r>
    <w:r>
      <w:rPr>
        <w:sz w:val="20"/>
      </w:rPr>
      <w:fldChar w:fldCharType="begin"/>
    </w:r>
    <w:r>
      <w:rPr>
        <w:sz w:val="20"/>
      </w:rPr>
      <w:instrText xml:space="preserve"> DOCPROPERTY "AsAtDate" </w:instrText>
    </w:r>
    <w:r>
      <w:rPr>
        <w:sz w:val="20"/>
      </w:rPr>
      <w:fldChar w:fldCharType="separate"/>
    </w:r>
    <w:r>
      <w:rPr>
        <w:sz w:val="20"/>
      </w:rPr>
      <w:t>04 Jun 2024</w:t>
    </w:r>
    <w:r>
      <w:rPr>
        <w:sz w:val="20"/>
      </w:rPr>
      <w:fldChar w:fldCharType="end"/>
    </w:r>
    <w:r>
      <w:rPr>
        <w:sz w:val="20"/>
      </w:rPr>
      <w:tab/>
    </w:r>
    <w:r>
      <w:rPr>
        <w:sz w:val="20"/>
      </w:rPr>
      <w:fldChar w:fldCharType="begin"/>
    </w:r>
    <w:r>
      <w:rPr>
        <w:sz w:val="20"/>
      </w:rPr>
      <w:instrText xml:space="preserve"> DOCPROPERTY "Official" </w:instrText>
    </w:r>
    <w:r>
      <w:rPr>
        <w:sz w:val="20"/>
      </w:rPr>
      <w:fldChar w:fldCharType="end"/>
    </w:r>
  </w:p>
  <w:p>
    <w:pPr>
      <w:pStyle w:val="Footer"/>
      <w:tabs>
        <w:tab w:val="center" w:pos="3600"/>
        <w:tab w:val="right" w:pos="7080"/>
      </w:tabs>
      <w:rPr>
        <w:sz w:val="16"/>
      </w:rPr>
    </w:pPr>
    <w:r>
      <w:rPr>
        <w:sz w:val="16"/>
      </w:rPr>
      <w:t xml:space="preserve">[PCO </w:t>
    </w:r>
    <w:r>
      <w:rPr>
        <w:sz w:val="16"/>
      </w:rPr>
      <w:fldChar w:fldCharType="begin"/>
    </w:r>
    <w:r>
      <w:rPr>
        <w:sz w:val="16"/>
      </w:rPr>
      <w:instrText xml:space="preserve"> DOCPROPERTY "Suffix" </w:instrText>
    </w:r>
    <w:r>
      <w:rPr>
        <w:sz w:val="16"/>
      </w:rPr>
      <w:fldChar w:fldCharType="separate"/>
    </w:r>
    <w:r>
      <w:rPr>
        <w:sz w:val="16"/>
      </w:rPr>
      <w:t>02-e0-00</w:t>
    </w:r>
    <w:r>
      <w:rPr>
        <w:sz w:val="16"/>
      </w:rPr>
      <w:fldChar w:fldCharType="end"/>
    </w:r>
    <w:r>
      <w:rPr>
        <w:sz w:val="16"/>
      </w:rPr>
      <w:t>]</w:t>
    </w:r>
    <w:r>
      <w:rPr>
        <w:sz w:val="16"/>
      </w:rPr>
      <w:tab/>
      <w:t>Published on www.legislation.wa.gov.au</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Bdr>
        <w:bottom w:val="single" w:sz="4" w:space="1" w:color="auto"/>
      </w:pBdr>
      <w:rPr>
        <w:sz w:val="20"/>
      </w:rPr>
    </w:pPr>
  </w:p>
  <w:p>
    <w:pPr>
      <w:pStyle w:val="Footer"/>
      <w:tabs>
        <w:tab w:val="center" w:pos="3600"/>
        <w:tab w:val="right" w:pos="7080"/>
      </w:tabs>
      <w:rPr>
        <w:sz w:val="20"/>
      </w:rPr>
    </w:pPr>
    <w:r>
      <w:rPr>
        <w:sz w:val="20"/>
      </w:rPr>
      <w:t xml:space="preserve">page </w:t>
    </w:r>
    <w:r>
      <w:rPr>
        <w:sz w:val="20"/>
      </w:rPr>
      <w:fldChar w:fldCharType="begin"/>
    </w:r>
    <w:r>
      <w:rPr>
        <w:sz w:val="20"/>
      </w:rPr>
      <w:instrText xml:space="preserve"> PAGE </w:instrText>
    </w:r>
    <w:r>
      <w:rPr>
        <w:sz w:val="20"/>
      </w:rPr>
      <w:fldChar w:fldCharType="separate"/>
    </w:r>
    <w:r>
      <w:rPr>
        <w:noProof/>
        <w:sz w:val="20"/>
      </w:rPr>
      <w:t>xviii</w:t>
    </w:r>
    <w:r>
      <w:rPr>
        <w:sz w:val="20"/>
      </w:rPr>
      <w:fldChar w:fldCharType="end"/>
    </w:r>
    <w:r>
      <w:rPr>
        <w:sz w:val="20"/>
      </w:rPr>
      <w:tab/>
    </w:r>
    <w:r>
      <w:rPr>
        <w:sz w:val="20"/>
      </w:rPr>
      <w:fldChar w:fldCharType="begin"/>
    </w:r>
    <w:r>
      <w:rPr>
        <w:sz w:val="20"/>
      </w:rPr>
      <w:instrText xml:space="preserve"> DOCPROPERTY "Official" </w:instrText>
    </w:r>
    <w:r>
      <w:rPr>
        <w:sz w:val="20"/>
      </w:rPr>
      <w:fldChar w:fldCharType="end"/>
    </w:r>
    <w:r>
      <w:rPr>
        <w:sz w:val="20"/>
      </w:rPr>
      <w:tab/>
      <w:t xml:space="preserve">Ceased </w:t>
    </w:r>
    <w:r>
      <w:rPr>
        <w:sz w:val="20"/>
      </w:rPr>
      <w:fldChar w:fldCharType="begin"/>
    </w:r>
    <w:r>
      <w:rPr>
        <w:sz w:val="20"/>
      </w:rPr>
      <w:instrText xml:space="preserve"> DOCPROPERTY "AsAtDate" </w:instrText>
    </w:r>
    <w:r>
      <w:rPr>
        <w:sz w:val="20"/>
      </w:rPr>
      <w:fldChar w:fldCharType="separate"/>
    </w:r>
    <w:r>
      <w:rPr>
        <w:sz w:val="20"/>
      </w:rPr>
      <w:t>04 Jun 2024</w:t>
    </w:r>
    <w:r>
      <w:rPr>
        <w:sz w:val="20"/>
      </w:rPr>
      <w:fldChar w:fldCharType="end"/>
    </w:r>
  </w:p>
  <w:p>
    <w:pPr>
      <w:pStyle w:val="Footer"/>
      <w:tabs>
        <w:tab w:val="center" w:pos="3600"/>
        <w:tab w:val="right" w:pos="7080"/>
      </w:tabs>
      <w:rPr>
        <w:sz w:val="16"/>
      </w:rPr>
    </w:pPr>
    <w:r>
      <w:rPr>
        <w:sz w:val="16"/>
      </w:rPr>
      <w:tab/>
      <w:t>Published on www.legislation.wa.gov.au</w:t>
    </w:r>
    <w:r>
      <w:rPr>
        <w:sz w:val="16"/>
      </w:rPr>
      <w:tab/>
      <w:t xml:space="preserve">[PCO </w:t>
    </w:r>
    <w:r>
      <w:rPr>
        <w:sz w:val="16"/>
      </w:rPr>
      <w:fldChar w:fldCharType="begin"/>
    </w:r>
    <w:r>
      <w:rPr>
        <w:sz w:val="16"/>
      </w:rPr>
      <w:instrText xml:space="preserve"> DOCPROPERTY "Suffix" </w:instrText>
    </w:r>
    <w:r>
      <w:rPr>
        <w:sz w:val="16"/>
      </w:rPr>
      <w:fldChar w:fldCharType="separate"/>
    </w:r>
    <w:r>
      <w:rPr>
        <w:sz w:val="16"/>
      </w:rPr>
      <w:t>02-e0-00</w:t>
    </w:r>
    <w:r>
      <w:rPr>
        <w:sz w:val="16"/>
      </w:rPr>
      <w:fldChar w:fldCharType="end"/>
    </w:r>
    <w:r>
      <w:rPr>
        <w:sz w:val="16"/>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Bdr>
        <w:bottom w:val="single" w:sz="4" w:space="1" w:color="auto"/>
      </w:pBdr>
      <w:rPr>
        <w:sz w:val="20"/>
      </w:rPr>
    </w:pPr>
  </w:p>
  <w:p>
    <w:pPr>
      <w:pStyle w:val="Footer"/>
      <w:tabs>
        <w:tab w:val="center" w:pos="3600"/>
        <w:tab w:val="right" w:pos="7080"/>
      </w:tabs>
      <w:rPr>
        <w:sz w:val="20"/>
      </w:rPr>
    </w:pPr>
    <w:r>
      <w:rPr>
        <w:sz w:val="20"/>
      </w:rPr>
      <w:t xml:space="preserve">Ceased </w:t>
    </w:r>
    <w:r>
      <w:rPr>
        <w:sz w:val="20"/>
      </w:rPr>
      <w:fldChar w:fldCharType="begin"/>
    </w:r>
    <w:r>
      <w:rPr>
        <w:sz w:val="20"/>
      </w:rPr>
      <w:instrText xml:space="preserve"> DOCPROPERTY "AsAtDate" </w:instrText>
    </w:r>
    <w:r>
      <w:rPr>
        <w:sz w:val="20"/>
      </w:rPr>
      <w:fldChar w:fldCharType="separate"/>
    </w:r>
    <w:r>
      <w:rPr>
        <w:sz w:val="20"/>
      </w:rPr>
      <w:t>04 Jun 2024</w:t>
    </w:r>
    <w:r>
      <w:rPr>
        <w:sz w:val="20"/>
      </w:rPr>
      <w:fldChar w:fldCharType="end"/>
    </w:r>
    <w:r>
      <w:rPr>
        <w:sz w:val="20"/>
      </w:rPr>
      <w:tab/>
    </w:r>
    <w:r>
      <w:rPr>
        <w:sz w:val="20"/>
      </w:rPr>
      <w:fldChar w:fldCharType="begin"/>
    </w:r>
    <w:r>
      <w:rPr>
        <w:sz w:val="20"/>
      </w:rPr>
      <w:instrText xml:space="preserve"> DOCPROPERTY "Official" </w:instrText>
    </w:r>
    <w:r>
      <w:rPr>
        <w:sz w:val="20"/>
      </w:rPr>
      <w:fldChar w:fldCharType="end"/>
    </w:r>
    <w:r>
      <w:rPr>
        <w:sz w:val="20"/>
      </w:rPr>
      <w:tab/>
      <w:t xml:space="preserve">page </w:t>
    </w:r>
    <w:r>
      <w:rPr>
        <w:sz w:val="20"/>
      </w:rPr>
      <w:fldChar w:fldCharType="begin"/>
    </w:r>
    <w:r>
      <w:rPr>
        <w:sz w:val="20"/>
      </w:rPr>
      <w:instrText xml:space="preserve"> PAGE </w:instrText>
    </w:r>
    <w:r>
      <w:rPr>
        <w:sz w:val="20"/>
      </w:rPr>
      <w:fldChar w:fldCharType="separate"/>
    </w:r>
    <w:r>
      <w:rPr>
        <w:noProof/>
        <w:sz w:val="20"/>
      </w:rPr>
      <w:t>xvii</w:t>
    </w:r>
    <w:r>
      <w:rPr>
        <w:sz w:val="20"/>
      </w:rPr>
      <w:fldChar w:fldCharType="end"/>
    </w:r>
  </w:p>
  <w:p>
    <w:pPr>
      <w:pStyle w:val="Footer"/>
      <w:tabs>
        <w:tab w:val="center" w:pos="3600"/>
        <w:tab w:val="right" w:pos="7080"/>
      </w:tabs>
      <w:rPr>
        <w:sz w:val="16"/>
      </w:rPr>
    </w:pPr>
    <w:r>
      <w:rPr>
        <w:sz w:val="16"/>
      </w:rPr>
      <w:t xml:space="preserve">[PCO </w:t>
    </w:r>
    <w:r>
      <w:rPr>
        <w:sz w:val="16"/>
      </w:rPr>
      <w:fldChar w:fldCharType="begin"/>
    </w:r>
    <w:r>
      <w:rPr>
        <w:sz w:val="16"/>
      </w:rPr>
      <w:instrText xml:space="preserve"> DOCPROPERTY "Suffix" </w:instrText>
    </w:r>
    <w:r>
      <w:rPr>
        <w:sz w:val="16"/>
      </w:rPr>
      <w:fldChar w:fldCharType="separate"/>
    </w:r>
    <w:r>
      <w:rPr>
        <w:sz w:val="16"/>
      </w:rPr>
      <w:t>02-e0-00</w:t>
    </w:r>
    <w:r>
      <w:rPr>
        <w:sz w:val="16"/>
      </w:rPr>
      <w:fldChar w:fldCharType="end"/>
    </w:r>
    <w:r>
      <w:rPr>
        <w:sz w:val="16"/>
      </w:rPr>
      <w:t>]</w:t>
    </w:r>
    <w:r>
      <w:rPr>
        <w:sz w:val="16"/>
      </w:rPr>
      <w:tab/>
      <w:t>Published on www.legislation.wa.gov.au</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Bdr>
        <w:bottom w:val="single" w:sz="4" w:space="1" w:color="auto"/>
      </w:pBdr>
      <w:rPr>
        <w:sz w:val="20"/>
      </w:rPr>
    </w:pPr>
  </w:p>
  <w:p>
    <w:pPr>
      <w:pStyle w:val="Footer"/>
      <w:tabs>
        <w:tab w:val="center" w:pos="3600"/>
        <w:tab w:val="right" w:pos="7080"/>
      </w:tabs>
      <w:rPr>
        <w:sz w:val="20"/>
      </w:rPr>
    </w:pPr>
    <w:r>
      <w:rPr>
        <w:sz w:val="20"/>
      </w:rPr>
      <w:t xml:space="preserve">Ceased </w:t>
    </w:r>
    <w:r>
      <w:rPr>
        <w:sz w:val="20"/>
      </w:rPr>
      <w:fldChar w:fldCharType="begin"/>
    </w:r>
    <w:r>
      <w:rPr>
        <w:sz w:val="20"/>
      </w:rPr>
      <w:instrText xml:space="preserve"> DOCPROPERTY "AsAtDate" </w:instrText>
    </w:r>
    <w:r>
      <w:rPr>
        <w:sz w:val="20"/>
      </w:rPr>
      <w:fldChar w:fldCharType="separate"/>
    </w:r>
    <w:r>
      <w:rPr>
        <w:sz w:val="20"/>
      </w:rPr>
      <w:t>04 Jun 2024</w:t>
    </w:r>
    <w:r>
      <w:rPr>
        <w:sz w:val="20"/>
      </w:rPr>
      <w:fldChar w:fldCharType="end"/>
    </w:r>
    <w:r>
      <w:rPr>
        <w:sz w:val="20"/>
      </w:rPr>
      <w:tab/>
    </w:r>
    <w:r>
      <w:rPr>
        <w:sz w:val="20"/>
      </w:rPr>
      <w:fldChar w:fldCharType="begin"/>
    </w:r>
    <w:r>
      <w:rPr>
        <w:sz w:val="20"/>
      </w:rPr>
      <w:instrText xml:space="preserve"> DOCPROPERTY "Official" </w:instrText>
    </w:r>
    <w:r>
      <w:rPr>
        <w:sz w:val="20"/>
      </w:rPr>
      <w:fldChar w:fldCharType="end"/>
    </w:r>
    <w:r>
      <w:rPr>
        <w:sz w:val="20"/>
      </w:rPr>
      <w:tab/>
      <w:t xml:space="preserve">page </w:t>
    </w:r>
    <w:r>
      <w:rPr>
        <w:sz w:val="20"/>
      </w:rPr>
      <w:fldChar w:fldCharType="begin"/>
    </w:r>
    <w:r>
      <w:rPr>
        <w:sz w:val="20"/>
      </w:rPr>
      <w:instrText xml:space="preserve"> PAGE </w:instrText>
    </w:r>
    <w:r>
      <w:rPr>
        <w:sz w:val="20"/>
      </w:rPr>
      <w:fldChar w:fldCharType="separate"/>
    </w:r>
    <w:r>
      <w:rPr>
        <w:noProof/>
        <w:sz w:val="20"/>
      </w:rPr>
      <w:t>i</w:t>
    </w:r>
    <w:r>
      <w:rPr>
        <w:sz w:val="20"/>
      </w:rPr>
      <w:fldChar w:fldCharType="end"/>
    </w:r>
  </w:p>
  <w:p>
    <w:pPr>
      <w:pStyle w:val="Footer"/>
      <w:tabs>
        <w:tab w:val="center" w:pos="3600"/>
        <w:tab w:val="right" w:pos="7080"/>
      </w:tabs>
      <w:rPr>
        <w:sz w:val="16"/>
      </w:rPr>
    </w:pPr>
    <w:r>
      <w:rPr>
        <w:sz w:val="16"/>
      </w:rPr>
      <w:t xml:space="preserve">[PCO </w:t>
    </w:r>
    <w:r>
      <w:rPr>
        <w:sz w:val="16"/>
      </w:rPr>
      <w:fldChar w:fldCharType="begin"/>
    </w:r>
    <w:r>
      <w:rPr>
        <w:sz w:val="16"/>
      </w:rPr>
      <w:instrText xml:space="preserve"> DOCPROPERTY "Suffix" </w:instrText>
    </w:r>
    <w:r>
      <w:rPr>
        <w:sz w:val="16"/>
      </w:rPr>
      <w:fldChar w:fldCharType="separate"/>
    </w:r>
    <w:r>
      <w:rPr>
        <w:sz w:val="16"/>
      </w:rPr>
      <w:t>02-e0-00</w:t>
    </w:r>
    <w:r>
      <w:rPr>
        <w:sz w:val="16"/>
      </w:rPr>
      <w:fldChar w:fldCharType="end"/>
    </w:r>
    <w:r>
      <w:rPr>
        <w:sz w:val="16"/>
      </w:rPr>
      <w:t>]</w:t>
    </w:r>
    <w:r>
      <w:rPr>
        <w:sz w:val="16"/>
      </w:rPr>
      <w:tab/>
      <w:t>Published on www.legislation.wa.gov.au</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bookmarkStart w:id="0" w:name="TitlePage"/>
    <w:bookmarkEnd w:id="0"/>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trPr>
      <w:tc>
        <w:tcPr>
          <w:tcW w:w="7258" w:type="dxa"/>
          <w:gridSpan w:val="2"/>
        </w:tcPr>
        <w:p>
          <w:pPr>
            <w:pStyle w:val="Header"/>
          </w:pPr>
          <w:r>
            <w:rPr>
              <w:b/>
              <w:i/>
            </w:rPr>
            <w:fldChar w:fldCharType="begin"/>
          </w:r>
          <w:r>
            <w:rPr>
              <w:b/>
              <w:i/>
            </w:rPr>
            <w:instrText xml:space="preserve"> STYLEREF "Name of Act/Reg" </w:instrText>
          </w:r>
          <w:r>
            <w:rPr>
              <w:b/>
              <w:i/>
            </w:rPr>
            <w:fldChar w:fldCharType="separate"/>
          </w:r>
          <w:r>
            <w:rPr>
              <w:b/>
              <w:i/>
            </w:rPr>
            <w:t>Construction Camp Regulations</w:t>
          </w:r>
          <w:r>
            <w:rPr>
              <w:b/>
              <w:i/>
            </w:rPr>
            <w:fldChar w:fldCharType="end"/>
          </w:r>
        </w:p>
      </w:tc>
    </w:tr>
    <w:tr>
      <w:trPr>
        <w:jc w:val="center"/>
      </w:trPr>
      <w:tc>
        <w:tcPr>
          <w:tcW w:w="1548" w:type="dxa"/>
        </w:tcPr>
        <w:p>
          <w:pPr>
            <w:pStyle w:val="Header"/>
            <w:spacing w:before="40"/>
          </w:pPr>
        </w:p>
      </w:tc>
      <w:tc>
        <w:tcPr>
          <w:tcW w:w="5715" w:type="dxa"/>
        </w:tcPr>
        <w:p>
          <w:pPr>
            <w:pStyle w:val="Header"/>
            <w:spacing w:before="40"/>
          </w:pPr>
        </w:p>
      </w:tc>
    </w:tr>
    <w:tr>
      <w:trPr>
        <w:jc w:val="center"/>
      </w:trPr>
      <w:tc>
        <w:tcPr>
          <w:tcW w:w="1548" w:type="dxa"/>
        </w:tcPr>
        <w:p>
          <w:pPr>
            <w:pStyle w:val="Header"/>
            <w:spacing w:before="40"/>
          </w:pPr>
        </w:p>
      </w:tc>
      <w:tc>
        <w:tcPr>
          <w:tcW w:w="5715" w:type="dxa"/>
        </w:tcPr>
        <w:p>
          <w:pPr>
            <w:pStyle w:val="Header"/>
            <w:spacing w:before="40"/>
          </w:pPr>
        </w:p>
      </w:tc>
    </w:tr>
    <w:tr>
      <w:trPr>
        <w:cantSplit/>
        <w:jc w:val="center"/>
      </w:trPr>
      <w:tc>
        <w:tcPr>
          <w:tcW w:w="7258" w:type="dxa"/>
          <w:gridSpan w:val="2"/>
        </w:tcPr>
        <w:p>
          <w:pPr>
            <w:pStyle w:val="Header"/>
            <w:spacing w:before="40"/>
          </w:pPr>
          <w:r>
            <w:t>Contents</w:t>
          </w:r>
        </w:p>
      </w:tc>
    </w:tr>
  </w:tbl>
  <w:p>
    <w:pPr>
      <w:pStyle w:val="Header"/>
      <w:pBdr>
        <w:top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5715"/>
      <w:gridCol w:w="1548"/>
    </w:tblGrid>
    <w:tr>
      <w:trPr>
        <w:cantSplit/>
        <w:jc w:val="center"/>
      </w:trPr>
      <w:tc>
        <w:tcPr>
          <w:tcW w:w="7258" w:type="dxa"/>
          <w:gridSpan w:val="2"/>
        </w:tcPr>
        <w:p>
          <w:pPr>
            <w:pStyle w:val="Header"/>
            <w:ind w:right="17"/>
            <w:jc w:val="right"/>
          </w:pPr>
          <w:r>
            <w:rPr>
              <w:b/>
              <w:i/>
            </w:rPr>
            <w:fldChar w:fldCharType="begin"/>
          </w:r>
          <w:r>
            <w:rPr>
              <w:b/>
              <w:i/>
            </w:rPr>
            <w:instrText xml:space="preserve"> STYLEREF "Name of Act/Reg" </w:instrText>
          </w:r>
          <w:r>
            <w:rPr>
              <w:b/>
              <w:i/>
            </w:rPr>
            <w:fldChar w:fldCharType="separate"/>
          </w:r>
          <w:r>
            <w:rPr>
              <w:b/>
              <w:i/>
            </w:rPr>
            <w:t>Construction Camp Regulations</w:t>
          </w:r>
          <w:r>
            <w:rPr>
              <w:b/>
              <w:i/>
            </w:rPr>
            <w:fldChar w:fldCharType="end"/>
          </w:r>
        </w:p>
      </w:tc>
    </w:tr>
    <w:tr>
      <w:trPr>
        <w:jc w:val="center"/>
      </w:trPr>
      <w:tc>
        <w:tcPr>
          <w:tcW w:w="5715" w:type="dxa"/>
        </w:tcPr>
        <w:p>
          <w:pPr>
            <w:pStyle w:val="Header"/>
            <w:spacing w:before="40"/>
            <w:jc w:val="right"/>
          </w:pPr>
        </w:p>
      </w:tc>
      <w:tc>
        <w:tcPr>
          <w:tcW w:w="1548" w:type="dxa"/>
        </w:tcPr>
        <w:p>
          <w:pPr>
            <w:pStyle w:val="Header"/>
            <w:spacing w:before="40"/>
            <w:ind w:right="17"/>
            <w:jc w:val="right"/>
          </w:pPr>
        </w:p>
      </w:tc>
    </w:tr>
    <w:tr>
      <w:trPr>
        <w:jc w:val="center"/>
      </w:trPr>
      <w:tc>
        <w:tcPr>
          <w:tcW w:w="5715" w:type="dxa"/>
        </w:tcPr>
        <w:p>
          <w:pPr>
            <w:pStyle w:val="Header"/>
            <w:spacing w:before="40"/>
            <w:jc w:val="right"/>
          </w:pPr>
        </w:p>
      </w:tc>
      <w:tc>
        <w:tcPr>
          <w:tcW w:w="1548" w:type="dxa"/>
        </w:tcPr>
        <w:p>
          <w:pPr>
            <w:pStyle w:val="Header"/>
            <w:spacing w:before="40"/>
            <w:ind w:right="17"/>
            <w:jc w:val="right"/>
          </w:pPr>
        </w:p>
      </w:tc>
    </w:tr>
    <w:tr>
      <w:trPr>
        <w:cantSplit/>
        <w:jc w:val="center"/>
      </w:trPr>
      <w:tc>
        <w:tcPr>
          <w:tcW w:w="7258" w:type="dxa"/>
          <w:gridSpan w:val="2"/>
        </w:tcPr>
        <w:p>
          <w:pPr>
            <w:pStyle w:val="Header"/>
            <w:spacing w:before="40"/>
            <w:ind w:right="17"/>
            <w:jc w:val="right"/>
          </w:pPr>
          <w:r>
            <w:t>Contents</w:t>
          </w:r>
        </w:p>
      </w:tc>
    </w:tr>
  </w:tbl>
  <w:p>
    <w:pPr>
      <w:pStyle w:val="Header"/>
      <w:pBdr>
        <w:top w:val="single" w:sz="4" w:space="1" w:color="auto"/>
      </w:pBdr>
    </w:pPr>
    <w:bookmarkStart w:id="1" w:name="TOC"/>
    <w:bookmarkEnd w:id="1"/>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trPr>
      <w:tc>
        <w:tcPr>
          <w:tcW w:w="7258" w:type="dxa"/>
          <w:gridSpan w:val="2"/>
        </w:tcPr>
        <w:p>
          <w:pPr>
            <w:pStyle w:val="Header"/>
          </w:pPr>
          <w:r>
            <w:rPr>
              <w:b/>
              <w:i/>
            </w:rPr>
            <w:fldChar w:fldCharType="begin"/>
          </w:r>
          <w:r>
            <w:rPr>
              <w:b/>
              <w:i/>
            </w:rPr>
            <w:instrText>Styleref "Name of Act/Reg"</w:instrText>
          </w:r>
          <w:r>
            <w:rPr>
              <w:b/>
              <w:i/>
            </w:rPr>
            <w:fldChar w:fldCharType="separate"/>
          </w:r>
          <w:r>
            <w:rPr>
              <w:b/>
              <w:i/>
            </w:rPr>
            <w:t>Construction Camp Regulations</w:t>
          </w:r>
          <w:r>
            <w:rPr>
              <w:b/>
              <w:i/>
            </w:rPr>
            <w:fldChar w:fldCharType="end"/>
          </w:r>
        </w:p>
      </w:tc>
    </w:tr>
    <w:tr>
      <w:trPr>
        <w:jc w:val="center"/>
      </w:trPr>
      <w:tc>
        <w:tcPr>
          <w:tcW w:w="1548" w:type="dxa"/>
        </w:tcPr>
        <w:p>
          <w:pPr>
            <w:pStyle w:val="Header"/>
            <w:spacing w:before="40"/>
          </w:pPr>
          <w:r>
            <w:rPr>
              <w:b/>
            </w:rPr>
            <w:fldChar w:fldCharType="begin"/>
          </w:r>
          <w:r>
            <w:rPr>
              <w:b/>
            </w:rPr>
            <w:instrText>styleref CharPartNo</w:instrText>
          </w:r>
          <w:r>
            <w:rPr>
              <w:b/>
            </w:rPr>
            <w:fldChar w:fldCharType="end"/>
          </w:r>
        </w:p>
      </w:tc>
      <w:tc>
        <w:tcPr>
          <w:tcW w:w="5715" w:type="dxa"/>
        </w:tcPr>
        <w:p>
          <w:pPr>
            <w:pStyle w:val="Header"/>
            <w:spacing w:before="40"/>
          </w:pPr>
          <w:r>
            <w:fldChar w:fldCharType="begin"/>
          </w:r>
          <w:r>
            <w:instrText>styleref CharPartText</w:instrText>
          </w:r>
          <w:r>
            <w:fldChar w:fldCharType="end"/>
          </w:r>
        </w:p>
      </w:tc>
    </w:tr>
    <w:tr>
      <w:trPr>
        <w:jc w:val="center"/>
      </w:trPr>
      <w:tc>
        <w:tcPr>
          <w:tcW w:w="1548" w:type="dxa"/>
        </w:tcPr>
        <w:p>
          <w:pPr>
            <w:pStyle w:val="Header"/>
            <w:spacing w:before="40"/>
          </w:pPr>
          <w:r>
            <w:rPr>
              <w:b/>
            </w:rPr>
            <w:fldChar w:fldCharType="begin"/>
          </w:r>
          <w:r>
            <w:rPr>
              <w:b/>
            </w:rPr>
            <w:instrText xml:space="preserve"> styleref CharDivNo </w:instrText>
          </w:r>
          <w:r>
            <w:rPr>
              <w:b/>
            </w:rPr>
            <w:fldChar w:fldCharType="end"/>
          </w:r>
        </w:p>
      </w:tc>
      <w:tc>
        <w:tcPr>
          <w:tcW w:w="5715" w:type="dxa"/>
        </w:tcPr>
        <w:p>
          <w:pPr>
            <w:pStyle w:val="Header"/>
            <w:spacing w:before="40"/>
          </w:pPr>
          <w:r>
            <w:fldChar w:fldCharType="begin"/>
          </w:r>
          <w:r>
            <w:instrText xml:space="preserve"> styleref CharDivText </w:instrText>
          </w:r>
          <w:r>
            <w:fldChar w:fldCharType="end"/>
          </w:r>
        </w:p>
      </w:tc>
    </w:tr>
    <w:tr>
      <w:trPr>
        <w:cantSplit/>
        <w:jc w:val="center"/>
      </w:trPr>
      <w:tc>
        <w:tcPr>
          <w:tcW w:w="7258" w:type="dxa"/>
          <w:gridSpan w:val="2"/>
        </w:tcPr>
        <w:p>
          <w:pPr>
            <w:pStyle w:val="Header"/>
            <w:spacing w:before="40"/>
          </w:pPr>
          <w:r>
            <w:rPr>
              <w:b/>
            </w:rPr>
            <w:t xml:space="preserve">r. </w:t>
          </w:r>
          <w:r>
            <w:rPr>
              <w:b/>
            </w:rPr>
            <w:fldChar w:fldCharType="begin"/>
          </w:r>
          <w:r>
            <w:rPr>
              <w:b/>
            </w:rPr>
            <w:instrText>styleref CharSectno</w:instrText>
          </w:r>
          <w:r>
            <w:rPr>
              <w:b/>
            </w:rPr>
            <w:fldChar w:fldCharType="separate"/>
          </w:r>
          <w:r>
            <w:rPr>
              <w:b/>
            </w:rPr>
            <w:t>1</w:t>
          </w:r>
          <w:r>
            <w:rPr>
              <w:b/>
            </w:rPr>
            <w:fldChar w:fldCharType="end"/>
          </w:r>
        </w:p>
      </w:tc>
    </w:tr>
  </w:tbl>
  <w:p>
    <w:pPr>
      <w:pStyle w:val="Header"/>
      <w:pBdr>
        <w:top w:val="single" w:sz="4"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5715"/>
      <w:gridCol w:w="1548"/>
    </w:tblGrid>
    <w:tr>
      <w:trPr>
        <w:cantSplit/>
        <w:jc w:val="center"/>
      </w:trPr>
      <w:tc>
        <w:tcPr>
          <w:tcW w:w="7258" w:type="dxa"/>
          <w:gridSpan w:val="2"/>
        </w:tcPr>
        <w:p>
          <w:pPr>
            <w:pStyle w:val="Header"/>
            <w:ind w:right="17"/>
            <w:jc w:val="right"/>
          </w:pPr>
          <w:r>
            <w:rPr>
              <w:b/>
              <w:i/>
            </w:rPr>
            <w:fldChar w:fldCharType="begin"/>
          </w:r>
          <w:r>
            <w:rPr>
              <w:b/>
              <w:i/>
            </w:rPr>
            <w:instrText>Styleref "Name of Act/Reg"</w:instrText>
          </w:r>
          <w:r>
            <w:rPr>
              <w:b/>
              <w:i/>
            </w:rPr>
            <w:fldChar w:fldCharType="separate"/>
          </w:r>
          <w:r>
            <w:rPr>
              <w:b/>
              <w:i/>
            </w:rPr>
            <w:t>Construction Camp Regulations</w:t>
          </w:r>
          <w:r>
            <w:rPr>
              <w:b/>
              <w:i/>
            </w:rPr>
            <w:fldChar w:fldCharType="end"/>
          </w:r>
        </w:p>
      </w:tc>
    </w:tr>
    <w:tr>
      <w:trPr>
        <w:jc w:val="center"/>
      </w:trPr>
      <w:tc>
        <w:tcPr>
          <w:tcW w:w="5715" w:type="dxa"/>
        </w:tcPr>
        <w:p>
          <w:pPr>
            <w:pStyle w:val="Header"/>
            <w:spacing w:before="40"/>
            <w:jc w:val="right"/>
          </w:pPr>
          <w:r>
            <w:fldChar w:fldCharType="begin"/>
          </w:r>
          <w:r>
            <w:instrText>styleref CharPartText</w:instrText>
          </w:r>
          <w:r>
            <w:fldChar w:fldCharType="end"/>
          </w:r>
        </w:p>
      </w:tc>
      <w:tc>
        <w:tcPr>
          <w:tcW w:w="1548" w:type="dxa"/>
        </w:tcPr>
        <w:p>
          <w:pPr>
            <w:pStyle w:val="Header"/>
            <w:spacing w:before="40"/>
            <w:ind w:right="17"/>
            <w:jc w:val="right"/>
          </w:pPr>
          <w:r>
            <w:rPr>
              <w:b/>
            </w:rPr>
            <w:fldChar w:fldCharType="begin"/>
          </w:r>
          <w:r>
            <w:rPr>
              <w:b/>
            </w:rPr>
            <w:instrText>styleref CharPartNo</w:instrText>
          </w:r>
          <w:r>
            <w:rPr>
              <w:b/>
            </w:rPr>
            <w:fldChar w:fldCharType="end"/>
          </w:r>
        </w:p>
      </w:tc>
    </w:tr>
    <w:tr>
      <w:trPr>
        <w:jc w:val="center"/>
      </w:trPr>
      <w:tc>
        <w:tcPr>
          <w:tcW w:w="5715" w:type="dxa"/>
        </w:tcPr>
        <w:p>
          <w:pPr>
            <w:pStyle w:val="Header"/>
            <w:spacing w:before="40"/>
            <w:jc w:val="right"/>
          </w:pPr>
          <w:r>
            <w:fldChar w:fldCharType="begin"/>
          </w:r>
          <w:r>
            <w:instrText xml:space="preserve"> styleref CharDivText </w:instrText>
          </w:r>
          <w:r>
            <w:fldChar w:fldCharType="end"/>
          </w:r>
        </w:p>
      </w:tc>
      <w:tc>
        <w:tcPr>
          <w:tcW w:w="1548" w:type="dxa"/>
        </w:tcPr>
        <w:p>
          <w:pPr>
            <w:pStyle w:val="Header"/>
            <w:spacing w:before="40"/>
            <w:ind w:right="17"/>
            <w:jc w:val="right"/>
          </w:pPr>
          <w:r>
            <w:rPr>
              <w:b/>
            </w:rPr>
            <w:fldChar w:fldCharType="begin"/>
          </w:r>
          <w:r>
            <w:rPr>
              <w:b/>
            </w:rPr>
            <w:instrText xml:space="preserve"> styleref CharDivNo </w:instrText>
          </w:r>
          <w:r>
            <w:rPr>
              <w:b/>
            </w:rPr>
            <w:fldChar w:fldCharType="end"/>
          </w:r>
        </w:p>
      </w:tc>
    </w:tr>
    <w:tr>
      <w:trPr>
        <w:cantSplit/>
        <w:jc w:val="center"/>
      </w:trPr>
      <w:tc>
        <w:tcPr>
          <w:tcW w:w="7258" w:type="dxa"/>
          <w:gridSpan w:val="2"/>
        </w:tcPr>
        <w:p>
          <w:pPr>
            <w:pStyle w:val="Header"/>
            <w:spacing w:before="40"/>
            <w:ind w:right="17"/>
            <w:jc w:val="right"/>
          </w:pPr>
          <w:r>
            <w:rPr>
              <w:b/>
            </w:rPr>
            <w:t xml:space="preserve">r. </w:t>
          </w:r>
          <w:r>
            <w:rPr>
              <w:b/>
            </w:rPr>
            <w:fldChar w:fldCharType="begin"/>
          </w:r>
          <w:r>
            <w:rPr>
              <w:b/>
            </w:rPr>
            <w:instrText>styleref CharSectno</w:instrText>
          </w:r>
          <w:r>
            <w:rPr>
              <w:b/>
            </w:rPr>
            <w:fldChar w:fldCharType="separate"/>
          </w:r>
          <w:r>
            <w:rPr>
              <w:b/>
            </w:rPr>
            <w:t>1</w:t>
          </w:r>
          <w:r>
            <w:rPr>
              <w:b/>
            </w:rPr>
            <w:fldChar w:fldCharType="end"/>
          </w:r>
        </w:p>
      </w:tc>
    </w:tr>
  </w:tbl>
  <w:p>
    <w:pPr>
      <w:pStyle w:val="Header"/>
      <w:pBdr>
        <w:top w:val="single" w:sz="4" w:space="1"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trPr>
      <w:tc>
        <w:tcPr>
          <w:tcW w:w="7258" w:type="dxa"/>
          <w:gridSpan w:val="2"/>
        </w:tcPr>
        <w:p>
          <w:pPr>
            <w:pStyle w:val="Header"/>
          </w:pPr>
          <w:r>
            <w:rPr>
              <w:b/>
              <w:i/>
            </w:rPr>
            <w:fldChar w:fldCharType="begin"/>
          </w:r>
          <w:r>
            <w:rPr>
              <w:b/>
              <w:i/>
            </w:rPr>
            <w:instrText xml:space="preserve"> STYLEREF "Name of Act/Reg" </w:instrText>
          </w:r>
          <w:r>
            <w:rPr>
              <w:b/>
              <w:i/>
            </w:rPr>
            <w:fldChar w:fldCharType="separate"/>
          </w:r>
          <w:r>
            <w:rPr>
              <w:b/>
              <w:i/>
            </w:rPr>
            <w:t>Construction Camp Regulations</w:t>
          </w:r>
          <w:r>
            <w:rPr>
              <w:b/>
              <w:i/>
            </w:rPr>
            <w:fldChar w:fldCharType="end"/>
          </w:r>
        </w:p>
      </w:tc>
    </w:tr>
    <w:tr>
      <w:trPr>
        <w:jc w:val="center"/>
      </w:trPr>
      <w:tc>
        <w:tcPr>
          <w:tcW w:w="1548" w:type="dxa"/>
        </w:tcPr>
        <w:p>
          <w:pPr>
            <w:pStyle w:val="Header"/>
            <w:spacing w:before="40"/>
          </w:pPr>
          <w:r>
            <w:rPr>
              <w:b/>
            </w:rPr>
            <w:fldChar w:fldCharType="begin"/>
          </w:r>
          <w:r>
            <w:rPr>
              <w:b/>
            </w:rPr>
            <w:instrText xml:space="preserve"> STYLEREF "nHeading 2" </w:instrText>
          </w:r>
          <w:r>
            <w:rPr>
              <w:b/>
            </w:rPr>
            <w:fldChar w:fldCharType="separate"/>
          </w:r>
          <w:r>
            <w:rPr>
              <w:b/>
            </w:rPr>
            <w:t>Notes</w:t>
          </w:r>
          <w:r>
            <w:rPr>
              <w:b/>
            </w:rPr>
            <w:fldChar w:fldCharType="end"/>
          </w:r>
        </w:p>
      </w:tc>
      <w:tc>
        <w:tcPr>
          <w:tcW w:w="5715" w:type="dxa"/>
        </w:tcPr>
        <w:p>
          <w:pPr>
            <w:pStyle w:val="Header"/>
            <w:spacing w:before="40"/>
          </w:pPr>
          <w:r>
            <w:fldChar w:fldCharType="begin"/>
          </w:r>
          <w:r>
            <w:instrText xml:space="preserve"> STYLEREF "nHeading 3" </w:instrText>
          </w:r>
          <w:r>
            <w:fldChar w:fldCharType="separate"/>
          </w:r>
          <w:r>
            <w:t>Compilation table</w:t>
          </w:r>
          <w:r>
            <w:fldChar w:fldCharType="end"/>
          </w:r>
        </w:p>
      </w:tc>
    </w:tr>
    <w:tr>
      <w:trPr>
        <w:jc w:val="center"/>
      </w:trPr>
      <w:tc>
        <w:tcPr>
          <w:tcW w:w="1548" w:type="dxa"/>
        </w:tcPr>
        <w:p>
          <w:pPr>
            <w:pStyle w:val="Header"/>
            <w:spacing w:before="40"/>
          </w:pPr>
        </w:p>
      </w:tc>
      <w:tc>
        <w:tcPr>
          <w:tcW w:w="5715" w:type="dxa"/>
        </w:tcPr>
        <w:p>
          <w:pPr>
            <w:pStyle w:val="Header"/>
            <w:spacing w:before="40"/>
          </w:pPr>
        </w:p>
      </w:tc>
    </w:tr>
    <w:tr>
      <w:trPr>
        <w:cantSplit/>
        <w:jc w:val="center"/>
      </w:trPr>
      <w:tc>
        <w:tcPr>
          <w:tcW w:w="7258" w:type="dxa"/>
          <w:gridSpan w:val="2"/>
        </w:tcPr>
        <w:p>
          <w:pPr>
            <w:pStyle w:val="Header"/>
            <w:spacing w:before="40"/>
          </w:pPr>
        </w:p>
      </w:tc>
    </w:tr>
  </w:tbl>
  <w:p>
    <w:pPr>
      <w:pStyle w:val="Header"/>
      <w:pBdr>
        <w:top w:val="single" w:sz="4"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5715"/>
      <w:gridCol w:w="1548"/>
    </w:tblGrid>
    <w:tr>
      <w:trPr>
        <w:cantSplit/>
        <w:jc w:val="center"/>
      </w:trPr>
      <w:tc>
        <w:tcPr>
          <w:tcW w:w="7258" w:type="dxa"/>
          <w:gridSpan w:val="2"/>
        </w:tcPr>
        <w:p>
          <w:pPr>
            <w:pStyle w:val="Header"/>
            <w:ind w:right="17"/>
            <w:jc w:val="right"/>
          </w:pPr>
          <w:r>
            <w:rPr>
              <w:b/>
              <w:i/>
            </w:rPr>
            <w:fldChar w:fldCharType="begin"/>
          </w:r>
          <w:r>
            <w:rPr>
              <w:b/>
              <w:i/>
            </w:rPr>
            <w:instrText xml:space="preserve"> STYLEREF "Name of Act/Reg" </w:instrText>
          </w:r>
          <w:r>
            <w:rPr>
              <w:b/>
              <w:i/>
            </w:rPr>
            <w:fldChar w:fldCharType="separate"/>
          </w:r>
          <w:r>
            <w:rPr>
              <w:b/>
              <w:i/>
            </w:rPr>
            <w:t>Construction Camp Regulations</w:t>
          </w:r>
          <w:r>
            <w:rPr>
              <w:b/>
              <w:i/>
            </w:rPr>
            <w:fldChar w:fldCharType="end"/>
          </w:r>
        </w:p>
      </w:tc>
    </w:tr>
    <w:tr>
      <w:trPr>
        <w:jc w:val="center"/>
      </w:trPr>
      <w:tc>
        <w:tcPr>
          <w:tcW w:w="5715" w:type="dxa"/>
        </w:tcPr>
        <w:p>
          <w:pPr>
            <w:pStyle w:val="Header"/>
            <w:spacing w:before="40"/>
            <w:jc w:val="right"/>
          </w:pPr>
          <w:r>
            <w:fldChar w:fldCharType="begin"/>
          </w:r>
          <w:r>
            <w:instrText xml:space="preserve"> STYLEREF "nHeading 3" </w:instrText>
          </w:r>
          <w:r>
            <w:fldChar w:fldCharType="separate"/>
          </w:r>
          <w:r>
            <w:t>Compilation table</w:t>
          </w:r>
          <w:r>
            <w:fldChar w:fldCharType="end"/>
          </w:r>
        </w:p>
      </w:tc>
      <w:tc>
        <w:tcPr>
          <w:tcW w:w="1548" w:type="dxa"/>
        </w:tcPr>
        <w:p>
          <w:pPr>
            <w:pStyle w:val="Header"/>
            <w:spacing w:before="40"/>
            <w:ind w:right="17"/>
            <w:jc w:val="right"/>
          </w:pPr>
          <w:r>
            <w:rPr>
              <w:b/>
            </w:rPr>
            <w:fldChar w:fldCharType="begin"/>
          </w:r>
          <w:r>
            <w:rPr>
              <w:b/>
            </w:rPr>
            <w:instrText xml:space="preserve"> STYLEREF "nHeading 2" </w:instrText>
          </w:r>
          <w:r>
            <w:rPr>
              <w:b/>
            </w:rPr>
            <w:fldChar w:fldCharType="separate"/>
          </w:r>
          <w:r>
            <w:rPr>
              <w:b/>
            </w:rPr>
            <w:t>Notes</w:t>
          </w:r>
          <w:r>
            <w:rPr>
              <w:b/>
            </w:rPr>
            <w:fldChar w:fldCharType="end"/>
          </w:r>
        </w:p>
      </w:tc>
    </w:tr>
    <w:tr>
      <w:trPr>
        <w:jc w:val="center"/>
      </w:trPr>
      <w:tc>
        <w:tcPr>
          <w:tcW w:w="5715" w:type="dxa"/>
        </w:tcPr>
        <w:p>
          <w:pPr>
            <w:pStyle w:val="Header"/>
            <w:spacing w:before="40"/>
            <w:jc w:val="right"/>
          </w:pPr>
        </w:p>
      </w:tc>
      <w:tc>
        <w:tcPr>
          <w:tcW w:w="1548" w:type="dxa"/>
        </w:tcPr>
        <w:p>
          <w:pPr>
            <w:pStyle w:val="Header"/>
            <w:spacing w:before="40"/>
            <w:ind w:right="17"/>
            <w:jc w:val="right"/>
          </w:pPr>
        </w:p>
      </w:tc>
    </w:tr>
    <w:tr>
      <w:trPr>
        <w:cantSplit/>
        <w:jc w:val="center"/>
      </w:trPr>
      <w:tc>
        <w:tcPr>
          <w:tcW w:w="7258" w:type="dxa"/>
          <w:gridSpan w:val="2"/>
        </w:tcPr>
        <w:p>
          <w:pPr>
            <w:pStyle w:val="Header"/>
            <w:spacing w:before="40"/>
            <w:ind w:right="17"/>
            <w:jc w:val="right"/>
          </w:pPr>
        </w:p>
      </w:tc>
    </w:tr>
  </w:tbl>
  <w:p>
    <w:pPr>
      <w:pStyle w:val="Header"/>
      <w:pBdr>
        <w:top w:val="single" w:sz="4" w:space="1" w:color="auto"/>
      </w:pBdr>
    </w:pPr>
    <w:bookmarkStart w:id="63" w:name="Compilation"/>
    <w:bookmarkEnd w:id="63"/>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1348"/>
      <w:gridCol w:w="5915"/>
    </w:tblGrid>
    <w:tr>
      <w:trPr>
        <w:cantSplit/>
        <w:jc w:val="center"/>
      </w:trPr>
      <w:tc>
        <w:tcPr>
          <w:tcW w:w="7263" w:type="dxa"/>
          <w:gridSpan w:val="2"/>
        </w:tcPr>
        <w:p>
          <w:pPr>
            <w:pStyle w:val="Header"/>
          </w:pPr>
          <w:r>
            <w:rPr>
              <w:b/>
              <w:i/>
            </w:rPr>
            <w:fldChar w:fldCharType="begin"/>
          </w:r>
          <w:r>
            <w:rPr>
              <w:b/>
              <w:i/>
            </w:rPr>
            <w:instrText xml:space="preserve"> STYLEREF "Name of Act/Reg" </w:instrText>
          </w:r>
          <w:r>
            <w:rPr>
              <w:b/>
              <w:i/>
            </w:rPr>
            <w:fldChar w:fldCharType="separate"/>
          </w:r>
          <w:r>
            <w:rPr>
              <w:b/>
              <w:i/>
            </w:rPr>
            <w:t>Construction Camp Regulations</w:t>
          </w:r>
          <w:r>
            <w:rPr>
              <w:b/>
              <w:i/>
            </w:rPr>
            <w:fldChar w:fldCharType="end"/>
          </w:r>
        </w:p>
      </w:tc>
    </w:tr>
    <w:tr>
      <w:trPr>
        <w:jc w:val="center"/>
      </w:trPr>
      <w:tc>
        <w:tcPr>
          <w:tcW w:w="1348" w:type="dxa"/>
        </w:tcPr>
        <w:p>
          <w:pPr>
            <w:pStyle w:val="Header"/>
            <w:spacing w:before="40"/>
          </w:pPr>
        </w:p>
      </w:tc>
      <w:tc>
        <w:tcPr>
          <w:tcW w:w="5915" w:type="dxa"/>
        </w:tcPr>
        <w:p>
          <w:pPr>
            <w:pStyle w:val="Header"/>
            <w:spacing w:before="40"/>
          </w:pPr>
        </w:p>
      </w:tc>
    </w:tr>
    <w:tr>
      <w:trPr>
        <w:jc w:val="center"/>
      </w:trPr>
      <w:tc>
        <w:tcPr>
          <w:tcW w:w="1348" w:type="dxa"/>
        </w:tcPr>
        <w:p>
          <w:pPr>
            <w:pStyle w:val="Header"/>
            <w:spacing w:before="40"/>
          </w:pPr>
        </w:p>
      </w:tc>
      <w:tc>
        <w:tcPr>
          <w:tcW w:w="5915" w:type="dxa"/>
        </w:tcPr>
        <w:p>
          <w:pPr>
            <w:pStyle w:val="Header"/>
            <w:spacing w:before="40"/>
          </w:pPr>
        </w:p>
      </w:tc>
    </w:tr>
    <w:tr>
      <w:trPr>
        <w:cantSplit/>
        <w:jc w:val="center"/>
      </w:trPr>
      <w:tc>
        <w:tcPr>
          <w:tcW w:w="7263" w:type="dxa"/>
          <w:gridSpan w:val="2"/>
        </w:tcPr>
        <w:p>
          <w:pPr>
            <w:pStyle w:val="Header"/>
            <w:spacing w:before="40"/>
          </w:pPr>
          <w:r>
            <w:t>Defined terms</w:t>
          </w:r>
        </w:p>
      </w:tc>
    </w:tr>
  </w:tbl>
  <w:p>
    <w:pPr>
      <w:pStyle w:val="Header"/>
      <w:pBdr>
        <w:top w:val="single" w:sz="4" w:space="1" w:color="auto"/>
      </w:pBd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5884"/>
      <w:gridCol w:w="1379"/>
    </w:tblGrid>
    <w:tr>
      <w:trPr>
        <w:cantSplit/>
        <w:jc w:val="center"/>
      </w:trPr>
      <w:tc>
        <w:tcPr>
          <w:tcW w:w="7263" w:type="dxa"/>
          <w:gridSpan w:val="2"/>
        </w:tcPr>
        <w:p>
          <w:pPr>
            <w:pStyle w:val="Header"/>
            <w:spacing w:before="40"/>
            <w:ind w:right="17"/>
            <w:jc w:val="right"/>
          </w:pPr>
          <w:r>
            <w:rPr>
              <w:b/>
              <w:i/>
            </w:rPr>
            <w:fldChar w:fldCharType="begin"/>
          </w:r>
          <w:r>
            <w:rPr>
              <w:b/>
              <w:i/>
            </w:rPr>
            <w:instrText xml:space="preserve"> STYLEREF "Name of Act/Reg" </w:instrText>
          </w:r>
          <w:r>
            <w:rPr>
              <w:b/>
              <w:i/>
            </w:rPr>
            <w:fldChar w:fldCharType="separate"/>
          </w:r>
          <w:r>
            <w:rPr>
              <w:b/>
              <w:i/>
            </w:rPr>
            <w:t>Construction Camp Regulations</w:t>
          </w:r>
          <w:r>
            <w:rPr>
              <w:b/>
              <w:i/>
            </w:rPr>
            <w:fldChar w:fldCharType="end"/>
          </w:r>
        </w:p>
      </w:tc>
    </w:tr>
    <w:tr>
      <w:trPr>
        <w:jc w:val="center"/>
      </w:trPr>
      <w:tc>
        <w:tcPr>
          <w:tcW w:w="5884" w:type="dxa"/>
        </w:tcPr>
        <w:p>
          <w:pPr>
            <w:pStyle w:val="Header"/>
            <w:spacing w:before="40"/>
            <w:jc w:val="right"/>
          </w:pPr>
        </w:p>
      </w:tc>
      <w:tc>
        <w:tcPr>
          <w:tcW w:w="1379" w:type="dxa"/>
        </w:tcPr>
        <w:p>
          <w:pPr>
            <w:pStyle w:val="Header"/>
            <w:spacing w:before="40"/>
            <w:ind w:right="17"/>
            <w:jc w:val="right"/>
          </w:pPr>
        </w:p>
      </w:tc>
    </w:tr>
    <w:tr>
      <w:trPr>
        <w:jc w:val="center"/>
      </w:trPr>
      <w:tc>
        <w:tcPr>
          <w:tcW w:w="5884" w:type="dxa"/>
        </w:tcPr>
        <w:p>
          <w:pPr>
            <w:pStyle w:val="Header"/>
            <w:spacing w:before="40"/>
            <w:jc w:val="right"/>
          </w:pPr>
        </w:p>
      </w:tc>
      <w:tc>
        <w:tcPr>
          <w:tcW w:w="1379" w:type="dxa"/>
        </w:tcPr>
        <w:p>
          <w:pPr>
            <w:pStyle w:val="Header"/>
            <w:spacing w:before="40"/>
            <w:ind w:right="17"/>
            <w:jc w:val="right"/>
          </w:pPr>
        </w:p>
      </w:tc>
    </w:tr>
    <w:tr>
      <w:trPr>
        <w:cantSplit/>
        <w:jc w:val="center"/>
      </w:trPr>
      <w:tc>
        <w:tcPr>
          <w:tcW w:w="7263" w:type="dxa"/>
          <w:gridSpan w:val="2"/>
        </w:tcPr>
        <w:p>
          <w:pPr>
            <w:pStyle w:val="Header"/>
            <w:spacing w:before="40"/>
            <w:ind w:right="17"/>
            <w:jc w:val="right"/>
          </w:pPr>
          <w:r>
            <w:t>Defined terms</w:t>
          </w:r>
        </w:p>
      </w:tc>
    </w:tr>
  </w:tbl>
  <w:p>
    <w:pPr>
      <w:pStyle w:val="Header"/>
      <w:pBdr>
        <w:top w:val="single" w:sz="4" w:space="1" w:color="auto"/>
      </w:pBdr>
    </w:pPr>
    <w:bookmarkStart w:id="67" w:name="DefinedTerms"/>
    <w:bookmarkEnd w:id="67"/>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bookmarkStart w:id="68" w:name="Coversheet"/>
    <w:bookmarkEnd w:id="68"/>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36A53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F66782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6F42F7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02497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67E645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BE405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9DA3E3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8C896B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684704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33EC5F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D02321"/>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8B63E2"/>
    <w:multiLevelType w:val="multilevel"/>
    <w:tmpl w:val="3550C8FC"/>
    <w:name w:val="SectionNumbers"/>
    <w:lvl w:ilvl="0">
      <w:start w:val="1"/>
      <w:numFmt w:val="decimal"/>
      <w:lvlRestart w:val="0"/>
      <w:suff w:val="nothing"/>
      <w:lvlText w:val="%1"/>
      <w:lvlJc w:val="left"/>
    </w:lvl>
    <w:lvl w:ilvl="1">
      <w:start w:val="1"/>
      <w:numFmt w:val="decimal"/>
      <w:suff w:val="nothing"/>
      <w:lvlText w:val="(%2)"/>
      <w:lvlJc w:val="righ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2" w15:restartNumberingAfterBreak="0">
    <w:nsid w:val="17F0064C"/>
    <w:multiLevelType w:val="multilevel"/>
    <w:tmpl w:val="B978DF16"/>
    <w:name w:val="PartNumbers"/>
    <w:lvl w:ilvl="0">
      <w:start w:val="1"/>
      <w:numFmt w:val="decimal"/>
      <w:lvlRestart w:val="0"/>
      <w:suff w:val="nothing"/>
      <w:lvlText w:val="%1"/>
      <w:lvlJc w:val="left"/>
    </w:lvl>
    <w:lvl w:ilvl="1">
      <w:start w:val="1"/>
      <w:numFmt w:val="decimal"/>
      <w:suff w:val="nothing"/>
      <w:lvlText w:val="%2"/>
      <w:lvlJc w:val="left"/>
    </w:lvl>
    <w:lvl w:ilvl="2">
      <w:start w:val="1"/>
      <w:numFmt w:val="decimal"/>
      <w:suff w:val="nothing"/>
      <w:lvlText w:val="%3"/>
      <w:lvlJc w:val="left"/>
    </w:lvl>
    <w:lvl w:ilvl="3">
      <w:start w:val="1"/>
      <w:numFmt w:val="decimal"/>
      <w:suff w:val="nothing"/>
      <w:lvlText w:val="%4"/>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3" w15:restartNumberingAfterBreak="0">
    <w:nsid w:val="22FF52EA"/>
    <w:multiLevelType w:val="multilevel"/>
    <w:tmpl w:val="85E88ED1"/>
    <w:name w:val="PermanentNotesNumbering"/>
    <w:lvl w:ilvl="0">
      <w:start w:val="1"/>
      <w:numFmt w:val="none"/>
      <w:lvlRestart w:val="0"/>
      <w:suff w:val="nothing"/>
      <w:lvlText w:val=""/>
      <w:lvlJc w:val="left"/>
    </w:lvl>
    <w:lvl w:ilvl="1">
      <w:start w:val="1"/>
      <w:numFmt w:val="decimal"/>
      <w:suff w:val="nothing"/>
      <w:lvlText w:val="%2"/>
      <w:lvlJc w:val="left"/>
    </w:lvl>
    <w:lvl w:ilvl="2">
      <w:start w:val="1"/>
      <w:numFmt w:val="lowerLetter"/>
      <w:suff w:val="nothing"/>
      <w:lvlText w:val="(%3)"/>
      <w:lvlJc w:val="left"/>
    </w:lvl>
    <w:lvl w:ilvl="3">
      <w:start w:val="1"/>
      <w:numFmt w:val="lowerRoman"/>
      <w:suff w:val="nothing"/>
      <w:lvlText w:val="(%4)"/>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4" w15:restartNumberingAfterBreak="0">
    <w:nsid w:val="22FF52EB"/>
    <w:multiLevelType w:val="multilevel"/>
    <w:tmpl w:val="85E88ED0"/>
    <w:name w:val="Definition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5" w15:restartNumberingAfterBreak="0">
    <w:nsid w:val="2BE82A86"/>
    <w:multiLevelType w:val="multilevel"/>
    <w:tmpl w:val="E1506BB2"/>
    <w:name w:val="ScheduleNumbers"/>
    <w:lvl w:ilvl="0">
      <w:start w:val="1"/>
      <w:numFmt w:val="decimal"/>
      <w:suff w:val="nothing"/>
      <w:lvlText w:val="%1"/>
      <w:lvlJc w:val="left"/>
    </w:lvl>
    <w:lvl w:ilvl="1">
      <w:start w:val="1"/>
      <w:numFmt w:val="decimal"/>
      <w:suff w:val="nothing"/>
      <w:lvlText w:val="%2"/>
      <w:lvlJc w:val="left"/>
    </w:lvl>
    <w:lvl w:ilvl="2">
      <w:start w:val="1"/>
      <w:numFmt w:val="decimal"/>
      <w:suff w:val="nothing"/>
      <w:lvlText w:val="%3"/>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6" w15:restartNumberingAfterBreak="0">
    <w:nsid w:val="3C2808C0"/>
    <w:multiLevelType w:val="singleLevel"/>
    <w:tmpl w:val="E370D9F2"/>
    <w:lvl w:ilvl="0">
      <w:start w:val="1"/>
      <w:numFmt w:val="bullet"/>
      <w:lvlText w:val=""/>
      <w:lvlJc w:val="left"/>
      <w:pPr>
        <w:tabs>
          <w:tab w:val="num" w:pos="1446"/>
        </w:tabs>
        <w:ind w:left="1446" w:hanging="567"/>
      </w:pPr>
      <w:rPr>
        <w:rFonts w:ascii="Symbol" w:hAnsi="Symbol" w:hint="default"/>
      </w:rPr>
    </w:lvl>
  </w:abstractNum>
  <w:abstractNum w:abstractNumId="17" w15:restartNumberingAfterBreak="0">
    <w:nsid w:val="42C41A54"/>
    <w:multiLevelType w:val="multilevel"/>
    <w:tmpl w:val="3C54BBA6"/>
    <w:name w:val="ScheduleNumberedItems"/>
    <w:lvl w:ilvl="0">
      <w:start w:val="1"/>
      <w:numFmt w:val="decimal"/>
      <w:suff w:val="nothing"/>
      <w:lvlText w:val="%1"/>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8" w15:restartNumberingAfterBreak="0">
    <w:nsid w:val="55CD6C56"/>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E761E26"/>
    <w:multiLevelType w:val="multilevel"/>
    <w:tmpl w:val="9B2EA622"/>
    <w:name w:val="ScheduleSectionNumbers"/>
    <w:lvl w:ilvl="0">
      <w:start w:val="1"/>
      <w:numFmt w:val="decimal"/>
      <w:suff w:val="nothing"/>
      <w:lvlText w:val="%1"/>
      <w:lvlJc w:val="left"/>
    </w:lvl>
    <w:lvl w:ilvl="1">
      <w:start w:val="1"/>
      <w:numFmt w:val="decimal"/>
      <w:suff w:val="nothing"/>
      <w:lvlText w:val="(%2)"/>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20" w15:restartNumberingAfterBreak="0">
    <w:nsid w:val="6FDE73CC"/>
    <w:multiLevelType w:val="multilevel"/>
    <w:tmpl w:val="F23471B8"/>
    <w:name w:val="Penalty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21" w15:restartNumberingAfterBreak="0">
    <w:nsid w:val="7AB12928"/>
    <w:multiLevelType w:val="multilevel"/>
    <w:tmpl w:val="4B987CFA"/>
    <w:name w:val="SchedulePenalty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22" w15:restartNumberingAfterBreak="0">
    <w:nsid w:val="7E512DEB"/>
    <w:multiLevelType w:val="multilevel"/>
    <w:tmpl w:val="9D2ACE92"/>
    <w:name w:val="ScheduleDefinition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revisionView w:formatting="0"/>
  <w:defaultTabStop w:val="720"/>
  <w:doNotHyphenateCaps/>
  <w:evenAndOddHeaders/>
  <w:drawingGridHorizontalSpacing w:val="120"/>
  <w:drawingGridVerticalSpacing w:val="163"/>
  <w:displayHorizontalDrawingGridEvery w:val="0"/>
  <w:displayVerticalDrawingGridEvery w:val="0"/>
  <w:doNotShadeFormData/>
  <w:noPunctuationKerning/>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WAFER" w:val="20240528105200"/>
    <w:docVar w:name="WAFER_20140121161220" w:val="RemoveTocBookmarks,RemoveUnusedBookmarks,RemoveLanguageTags,UsedStyles,ResetPageSize,UpdateArrangement"/>
    <w:docVar w:name="WAFER_20140121161220_GUID" w:val="4303e3d1-7630-4849-be1c-0d2b27568608"/>
    <w:docVar w:name="WAFER_20140121161920" w:val="RemoveTocBookmarks,RunningHeaders"/>
    <w:docVar w:name="WAFER_20140121161920_GUID" w:val="e51c8959-7dd5-442b-af39-5e39bf715783"/>
    <w:docVar w:name="WAFER_20150331171915" w:val="ResetPageSize,UpdateArrangement,UpdateNTable"/>
    <w:docVar w:name="WAFER_20150331171915_GUID" w:val="3b09f4f2-71a1-43a9-8736-59c1b76e1ea7"/>
    <w:docVar w:name="WAFER_20151102161734" w:val="UpdateStyles,UsedStyles"/>
    <w:docVar w:name="WAFER_20151102161734_GUID" w:val="f1d8fae1-5237-4c51-8270-81cbd4cd5e8d"/>
    <w:docVar w:name="WAFER_20240429140715" w:val="RemoveAutoUpdateStyles.CheckForAutoUpdateStyles,ResetPageSize.CountPageSizes,ResetPageFooter.CountPageFooters,RemoveDocumentProtection.CheckForDocumentProtection,RemoveCustomizations.CheckForCustomization,RemoveBackground.CheckForBackground,ChangeTrackAuthors.CountDifferentAuthors,RemoveTocBookmarks.RemoveBookmarks,RemoveUnusedBookmarks.RemoveBookmarks,RemoveLanguageTags.RemoveTags,RemoveSmartTags.RemoveTags,ResetPageFooter.ResetPageFooter,RunningHeaders.Run,UpdateStyles.ProcessFixes,UpdateStyles.ProcessFixes,RemoveIncorrectStyles.ProcessStyles,RemoveIncorrectStyles.ProcessStyles"/>
    <w:docVar w:name="WAFER_20240429140715_GUID" w:val="fb90e97d-39ed-4f3f-a0e7-1162c0831f57"/>
    <w:docVar w:name="WAFER_20240528105200" w:val="RemoveAutoUpdateStyles.CheckForAutoUpdateStyles,ResetPageSize.CountPageSizes,ResetPageFooter.CountPageFooters,RemoveDocumentProtection.CheckForDocumentProtection,RemoveCustomizations.CheckForCustomization,RemoveBackground.CheckForBackground,ChangeTrackAuthors.CountDifferentAuthors,RemoveTocBookmarks.RemoveBookmarks,RemoveUnusedBookmarks.RemoveBookmarks,RemoveLanguageTags.RemoveTags,RemoveSmartTags.RemoveTags,RunningHeaders.Run,UpdateStyles.ProcessFixes,UpdateStyles.ProcessFixes,RemoveIncorrectStyles.ProcessStyles,RemoveIncorrectStyles.ProcessStyles"/>
    <w:docVar w:name="WAFER_20240528105200_GUID" w:val="5ab89318-9683-49e9-83dd-d457829b34c8"/>
  </w:docVar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5:docId w15:val="{43A840E9-2C38-4447-9612-6059DC39A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iPriority="39"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next w:val="Heading2"/>
    <w:qFormat/>
    <w:pPr>
      <w:keepNext/>
      <w:keepLines/>
      <w:pageBreakBefore/>
      <w:spacing w:before="320" w:line="260" w:lineRule="atLeast"/>
      <w:jc w:val="center"/>
      <w:outlineLvl w:val="0"/>
    </w:pPr>
    <w:rPr>
      <w:b/>
      <w:kern w:val="28"/>
      <w:sz w:val="34"/>
    </w:rPr>
  </w:style>
  <w:style w:type="paragraph" w:styleId="Heading2">
    <w:name w:val="heading 2"/>
    <w:next w:val="Heading3"/>
    <w:qFormat/>
    <w:pPr>
      <w:keepNext/>
      <w:pageBreakBefore/>
      <w:spacing w:line="260" w:lineRule="atLeast"/>
      <w:jc w:val="center"/>
      <w:outlineLvl w:val="1"/>
    </w:pPr>
    <w:rPr>
      <w:b/>
      <w:snapToGrid w:val="0"/>
      <w:sz w:val="30"/>
    </w:rPr>
  </w:style>
  <w:style w:type="paragraph" w:styleId="Heading3">
    <w:name w:val="heading 3"/>
    <w:next w:val="Heading4"/>
    <w:qFormat/>
    <w:pPr>
      <w:keepNext/>
      <w:spacing w:before="240" w:line="260" w:lineRule="atLeast"/>
      <w:jc w:val="center"/>
      <w:outlineLvl w:val="2"/>
    </w:pPr>
    <w:rPr>
      <w:b/>
      <w:sz w:val="26"/>
    </w:rPr>
  </w:style>
  <w:style w:type="paragraph" w:styleId="Heading4">
    <w:name w:val="heading 4"/>
    <w:next w:val="Heading5"/>
    <w:qFormat/>
    <w:pPr>
      <w:keepNext/>
      <w:spacing w:before="240"/>
      <w:jc w:val="center"/>
      <w:outlineLvl w:val="3"/>
    </w:pPr>
    <w:rPr>
      <w:b/>
      <w:sz w:val="24"/>
    </w:rPr>
  </w:style>
  <w:style w:type="paragraph" w:styleId="Heading5">
    <w:name w:val="heading 5"/>
    <w:next w:val="Normal"/>
    <w:qFormat/>
    <w:pPr>
      <w:keepNext/>
      <w:keepLines/>
      <w:tabs>
        <w:tab w:val="left" w:pos="879"/>
      </w:tabs>
      <w:spacing w:before="220" w:line="260" w:lineRule="atLeast"/>
      <w:ind w:left="879" w:hanging="879"/>
      <w:outlineLvl w:val="4"/>
    </w:pPr>
    <w:rPr>
      <w:b/>
      <w:sz w:val="24"/>
    </w:rPr>
  </w:style>
  <w:style w:type="paragraph" w:styleId="Heading6">
    <w:name w:val="heading 6"/>
    <w:next w:val="Normal"/>
    <w:qFormat/>
    <w:pPr>
      <w:keepNext/>
      <w:spacing w:before="240"/>
      <w:jc w:val="center"/>
      <w:outlineLvl w:val="5"/>
    </w:pPr>
    <w:rPr>
      <w:i/>
      <w:noProof/>
      <w:sz w:val="24"/>
    </w:rPr>
  </w:style>
  <w:style w:type="paragraph" w:styleId="Heading7">
    <w:name w:val="heading 7"/>
    <w:basedOn w:val="Heading6"/>
    <w:next w:val="Normal"/>
    <w:qFormat/>
    <w:pPr>
      <w:spacing w:before="280"/>
      <w:outlineLvl w:val="6"/>
    </w:pPr>
    <w:rPr>
      <w:sz w:val="30"/>
    </w:rPr>
  </w:style>
  <w:style w:type="paragraph" w:styleId="Heading8">
    <w:name w:val="heading 8"/>
    <w:basedOn w:val="Heading6"/>
    <w:next w:val="Normal"/>
    <w:qFormat/>
    <w:pPr>
      <w:outlineLvl w:val="7"/>
    </w:pPr>
    <w:rPr>
      <w:sz w:val="28"/>
    </w:rPr>
  </w:style>
  <w:style w:type="paragraph" w:styleId="Heading9">
    <w:name w:val="heading 9"/>
    <w:basedOn w:val="Heading1"/>
    <w:next w:val="Normal"/>
    <w:qFormat/>
    <w:pPr>
      <w:keepNext w:val="0"/>
      <w:spacing w:before="280"/>
      <w:outlineLvl w:val="8"/>
    </w:pPr>
    <w:rPr>
      <w:i/>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zyDefitem">
    <w:name w:val="zyDefitem"/>
    <w:pPr>
      <w:tabs>
        <w:tab w:val="right" w:pos="3459"/>
      </w:tabs>
      <w:spacing w:before="80"/>
      <w:ind w:left="3686" w:right="284" w:hanging="3119"/>
    </w:pPr>
    <w:rPr>
      <w:snapToGrid w:val="0"/>
      <w:sz w:val="22"/>
    </w:rPr>
  </w:style>
  <w:style w:type="paragraph" w:customStyle="1" w:styleId="zDefitem">
    <w:name w:val="zDefitem"/>
    <w:pPr>
      <w:tabs>
        <w:tab w:val="right" w:pos="3459"/>
      </w:tabs>
      <w:spacing w:before="80" w:line="260" w:lineRule="atLeast"/>
      <w:ind w:left="3686" w:right="284" w:hanging="3119"/>
    </w:pPr>
    <w:rPr>
      <w:snapToGrid w:val="0"/>
      <w:sz w:val="24"/>
    </w:rPr>
  </w:style>
  <w:style w:type="paragraph" w:customStyle="1" w:styleId="Defitem">
    <w:name w:val="Defitem"/>
    <w:pPr>
      <w:tabs>
        <w:tab w:val="right" w:pos="2892"/>
      </w:tabs>
      <w:spacing w:before="80" w:line="260" w:lineRule="atLeast"/>
      <w:ind w:left="3204" w:hanging="3204"/>
    </w:pPr>
    <w:rPr>
      <w:snapToGrid w:val="0"/>
      <w:sz w:val="24"/>
    </w:rPr>
  </w:style>
  <w:style w:type="paragraph" w:customStyle="1" w:styleId="Actno">
    <w:name w:val="Actno"/>
    <w:basedOn w:val="NameofActReg"/>
    <w:next w:val="Normal"/>
    <w:autoRedefine/>
    <w:pPr>
      <w:spacing w:before="500"/>
    </w:pPr>
    <w:rPr>
      <w:sz w:val="26"/>
    </w:rPr>
  </w:style>
  <w:style w:type="paragraph" w:customStyle="1" w:styleId="NameofActReg">
    <w:name w:val="Name of Act/Reg"/>
    <w:next w:val="Normal"/>
    <w:pPr>
      <w:spacing w:before="480" w:after="600"/>
      <w:jc w:val="center"/>
    </w:pPr>
    <w:rPr>
      <w:b/>
      <w:snapToGrid w:val="0"/>
      <w:sz w:val="34"/>
    </w:rPr>
  </w:style>
  <w:style w:type="paragraph" w:customStyle="1" w:styleId="Defpara">
    <w:name w:val="Defpara"/>
    <w:pPr>
      <w:tabs>
        <w:tab w:val="right" w:pos="1332"/>
      </w:tabs>
      <w:spacing w:before="80" w:line="260" w:lineRule="atLeast"/>
      <w:ind w:left="1616" w:hanging="1616"/>
    </w:pPr>
    <w:rPr>
      <w:snapToGrid w:val="0"/>
      <w:sz w:val="24"/>
    </w:rPr>
  </w:style>
  <w:style w:type="paragraph" w:styleId="Footer">
    <w:name w:val="footer"/>
    <w:basedOn w:val="Normal"/>
    <w:link w:val="FooterChar"/>
    <w:rPr>
      <w:rFonts w:ascii="Arial" w:hAnsi="Arial"/>
    </w:rPr>
  </w:style>
  <w:style w:type="paragraph" w:customStyle="1" w:styleId="Ednotesection">
    <w:name w:val="Ednote(section)"/>
    <w:pPr>
      <w:tabs>
        <w:tab w:val="left" w:pos="893"/>
      </w:tabs>
      <w:spacing w:before="220" w:line="260" w:lineRule="atLeast"/>
      <w:ind w:left="893" w:hanging="893"/>
      <w:outlineLvl w:val="4"/>
    </w:pPr>
    <w:rPr>
      <w:i/>
      <w:snapToGrid w:val="0"/>
      <w:sz w:val="24"/>
    </w:rPr>
  </w:style>
  <w:style w:type="character" w:styleId="LineNumber">
    <w:name w:val="line number"/>
    <w:basedOn w:val="DefaultParagraphFont"/>
    <w:rPr>
      <w:rFonts w:ascii="Times" w:hAnsi="Times"/>
      <w:sz w:val="18"/>
    </w:rPr>
  </w:style>
  <w:style w:type="paragraph" w:customStyle="1" w:styleId="zPenstart">
    <w:name w:val="zPenstart"/>
    <w:basedOn w:val="Normal"/>
    <w:pPr>
      <w:tabs>
        <w:tab w:val="left" w:pos="1446"/>
      </w:tabs>
      <w:spacing w:before="80" w:line="260" w:lineRule="atLeast"/>
      <w:ind w:left="1843" w:right="284" w:hanging="1021"/>
    </w:pPr>
  </w:style>
  <w:style w:type="paragraph" w:customStyle="1" w:styleId="Penstart">
    <w:name w:val="Penstart"/>
    <w:basedOn w:val="Normal"/>
    <w:pPr>
      <w:tabs>
        <w:tab w:val="left" w:pos="879"/>
      </w:tabs>
      <w:spacing w:before="80" w:line="260" w:lineRule="atLeast"/>
      <w:ind w:left="1332" w:hanging="1332"/>
    </w:pPr>
  </w:style>
  <w:style w:type="paragraph" w:customStyle="1" w:styleId="Preamble">
    <w:name w:val="Preamble"/>
    <w:pPr>
      <w:tabs>
        <w:tab w:val="left" w:pos="567"/>
      </w:tabs>
      <w:spacing w:before="160" w:line="260" w:lineRule="atLeast"/>
      <w:ind w:left="567" w:hanging="567"/>
    </w:pPr>
    <w:rPr>
      <w:rFonts w:ascii="Times" w:hAnsi="Times"/>
      <w:sz w:val="24"/>
    </w:rPr>
  </w:style>
  <w:style w:type="character" w:styleId="Strong">
    <w:name w:val="Strong"/>
    <w:basedOn w:val="DefaultParagraphFont"/>
    <w:qFormat/>
    <w:rPr>
      <w:b/>
      <w:sz w:val="24"/>
    </w:rPr>
  </w:style>
  <w:style w:type="paragraph" w:customStyle="1" w:styleId="ySubsection">
    <w:name w:val="ySubsection"/>
    <w:basedOn w:val="Subsection"/>
    <w:pPr>
      <w:spacing w:line="240" w:lineRule="auto"/>
    </w:pPr>
    <w:rPr>
      <w:sz w:val="22"/>
    </w:rPr>
  </w:style>
  <w:style w:type="paragraph" w:customStyle="1" w:styleId="Subsection">
    <w:name w:val="Subsection"/>
    <w:pPr>
      <w:tabs>
        <w:tab w:val="right" w:pos="595"/>
        <w:tab w:val="left" w:pos="879"/>
      </w:tabs>
      <w:spacing w:before="160" w:line="260" w:lineRule="atLeast"/>
      <w:ind w:left="879" w:hanging="879"/>
    </w:pPr>
    <w:rPr>
      <w:sz w:val="24"/>
    </w:rPr>
  </w:style>
  <w:style w:type="paragraph" w:customStyle="1" w:styleId="Table">
    <w:name w:val="Table"/>
    <w:aliases w:val="t"/>
    <w:basedOn w:val="Normal"/>
    <w:pPr>
      <w:spacing w:before="60" w:line="240" w:lineRule="atLeast"/>
    </w:pPr>
    <w:rPr>
      <w:sz w:val="22"/>
    </w:rPr>
  </w:style>
  <w:style w:type="paragraph" w:styleId="TOC1">
    <w:name w:val="toc 1"/>
    <w:basedOn w:val="Heading1"/>
    <w:next w:val="Normal"/>
    <w:semiHidden/>
    <w:pPr>
      <w:keepNext w:val="0"/>
      <w:keepLines w:val="0"/>
      <w:pageBreakBefore w:val="0"/>
      <w:spacing w:before="120" w:after="120"/>
      <w:jc w:val="left"/>
      <w:outlineLvl w:val="9"/>
    </w:pPr>
    <w:rPr>
      <w:caps/>
      <w:kern w:val="0"/>
      <w:sz w:val="20"/>
    </w:rPr>
  </w:style>
  <w:style w:type="paragraph" w:customStyle="1" w:styleId="ReprintNo">
    <w:name w:val="ReprintNo"/>
    <w:rPr>
      <w:b/>
      <w:noProof/>
      <w:sz w:val="28"/>
    </w:rPr>
  </w:style>
  <w:style w:type="paragraph" w:styleId="TOC2">
    <w:name w:val="toc 2"/>
    <w:next w:val="Normal"/>
    <w:uiPriority w:val="39"/>
    <w:pPr>
      <w:keepNext/>
      <w:spacing w:before="120" w:after="60"/>
      <w:ind w:left="1985" w:right="1134" w:hanging="567"/>
    </w:pPr>
    <w:rPr>
      <w:b/>
      <w:noProof/>
      <w:sz w:val="28"/>
    </w:rPr>
  </w:style>
  <w:style w:type="paragraph" w:styleId="TOC4">
    <w:name w:val="toc 4"/>
    <w:next w:val="Normal"/>
    <w:pPr>
      <w:keepNext/>
      <w:spacing w:before="60" w:after="20"/>
      <w:ind w:left="1985" w:right="1134" w:hanging="567"/>
    </w:pPr>
    <w:rPr>
      <w:b/>
      <w:noProof/>
      <w:sz w:val="22"/>
    </w:rPr>
  </w:style>
  <w:style w:type="paragraph" w:styleId="TOC5">
    <w:name w:val="toc 5"/>
    <w:next w:val="Normal"/>
    <w:semiHidden/>
    <w:pPr>
      <w:keepNext/>
      <w:spacing w:before="60" w:after="20"/>
      <w:ind w:left="1985" w:right="1134" w:hanging="567"/>
    </w:pPr>
    <w:rPr>
      <w:rFonts w:ascii="Helvetica" w:hAnsi="Helvetica"/>
      <w:b/>
      <w:noProof/>
      <w:sz w:val="18"/>
    </w:rPr>
  </w:style>
  <w:style w:type="paragraph" w:styleId="TOC6">
    <w:name w:val="toc 6"/>
    <w:next w:val="Normal"/>
    <w:semiHidden/>
    <w:pPr>
      <w:keepNext/>
      <w:spacing w:before="60" w:after="20"/>
      <w:ind w:left="1985" w:right="1134" w:hanging="567"/>
    </w:pPr>
    <w:rPr>
      <w:b/>
      <w:noProof/>
    </w:rPr>
  </w:style>
  <w:style w:type="paragraph" w:styleId="TOC7">
    <w:name w:val="toc 7"/>
    <w:next w:val="Normal"/>
    <w:semiHidden/>
    <w:pPr>
      <w:keepNext/>
      <w:spacing w:before="60" w:after="20"/>
      <w:ind w:left="1985" w:right="1134" w:hanging="567"/>
    </w:pPr>
    <w:rPr>
      <w:rFonts w:ascii="Helvetica" w:hAnsi="Helvetica"/>
      <w:b/>
      <w:sz w:val="18"/>
    </w:rPr>
  </w:style>
  <w:style w:type="paragraph" w:styleId="TOC8">
    <w:name w:val="toc 8"/>
    <w:next w:val="Normal"/>
    <w:uiPriority w:val="39"/>
    <w:pPr>
      <w:tabs>
        <w:tab w:val="left" w:pos="1418"/>
        <w:tab w:val="right" w:pos="6804"/>
      </w:tabs>
      <w:ind w:left="1418" w:right="1134" w:hanging="851"/>
    </w:pPr>
    <w:rPr>
      <w:noProof/>
      <w:sz w:val="22"/>
    </w:rPr>
  </w:style>
  <w:style w:type="paragraph" w:styleId="TOC9">
    <w:name w:val="toc 9"/>
    <w:next w:val="Normal"/>
    <w:semiHidden/>
    <w:pPr>
      <w:tabs>
        <w:tab w:val="left" w:pos="2268"/>
        <w:tab w:val="right" w:pos="6237"/>
      </w:tabs>
      <w:ind w:left="2269" w:right="1418" w:hanging="851"/>
    </w:pPr>
    <w:rPr>
      <w:rFonts w:ascii="Helvetica" w:hAnsi="Helvetica"/>
      <w:sz w:val="18"/>
    </w:rPr>
  </w:style>
  <w:style w:type="paragraph" w:customStyle="1" w:styleId="Defstart">
    <w:name w:val="Defstart"/>
    <w:pPr>
      <w:spacing w:before="80" w:line="260" w:lineRule="atLeast"/>
      <w:ind w:left="879" w:hanging="879"/>
    </w:pPr>
    <w:rPr>
      <w:snapToGrid w:val="0"/>
      <w:sz w:val="24"/>
    </w:rPr>
  </w:style>
  <w:style w:type="paragraph" w:customStyle="1" w:styleId="Defsubpara">
    <w:name w:val="Defsubpara"/>
    <w:pPr>
      <w:keepLines/>
      <w:tabs>
        <w:tab w:val="right" w:pos="2041"/>
      </w:tabs>
      <w:spacing w:before="80" w:line="260" w:lineRule="atLeast"/>
      <w:ind w:left="2325" w:hanging="2325"/>
    </w:pPr>
    <w:rPr>
      <w:snapToGrid w:val="0"/>
      <w:sz w:val="24"/>
    </w:rPr>
  </w:style>
  <w:style w:type="character" w:styleId="EndnoteReference">
    <w:name w:val="endnote reference"/>
    <w:basedOn w:val="DefaultParagraphFont"/>
    <w:semiHidden/>
    <w:rPr>
      <w:sz w:val="24"/>
      <w:vertAlign w:val="superscript"/>
    </w:rPr>
  </w:style>
  <w:style w:type="paragraph" w:styleId="BodyText">
    <w:name w:val="Body Text"/>
    <w:basedOn w:val="Normal"/>
    <w:pPr>
      <w:spacing w:after="120"/>
    </w:pPr>
  </w:style>
  <w:style w:type="paragraph" w:styleId="DocumentMap">
    <w:name w:val="Document Map"/>
    <w:basedOn w:val="Normal"/>
    <w:semiHidden/>
    <w:pPr>
      <w:pBdr>
        <w:top w:val="single" w:sz="4" w:space="1" w:color="auto"/>
        <w:left w:val="single" w:sz="4" w:space="4" w:color="auto"/>
        <w:bottom w:val="single" w:sz="4" w:space="1" w:color="auto"/>
        <w:right w:val="single" w:sz="4" w:space="4" w:color="auto"/>
      </w:pBdr>
      <w:shd w:val="clear" w:color="auto" w:fill="000080"/>
    </w:pPr>
  </w:style>
  <w:style w:type="paragraph" w:customStyle="1" w:styleId="zSubsection">
    <w:name w:val="zSubsection"/>
    <w:basedOn w:val="Normal"/>
    <w:pPr>
      <w:tabs>
        <w:tab w:val="right" w:pos="1162"/>
        <w:tab w:val="left" w:pos="1446"/>
      </w:tabs>
      <w:spacing w:before="160" w:line="260" w:lineRule="atLeast"/>
      <w:ind w:left="1446" w:right="284" w:hanging="851"/>
    </w:pPr>
  </w:style>
  <w:style w:type="character" w:styleId="Hyperlink">
    <w:name w:val="Hyperlink"/>
    <w:basedOn w:val="DefaultParagraphFont"/>
    <w:rPr>
      <w:color w:val="0000FF"/>
      <w:sz w:val="24"/>
      <w:u w:val="single"/>
    </w:rPr>
  </w:style>
  <w:style w:type="character" w:styleId="FollowedHyperlink">
    <w:name w:val="FollowedHyperlink"/>
    <w:basedOn w:val="DefaultParagraphFont"/>
    <w:rPr>
      <w:color w:val="800080"/>
      <w:sz w:val="24"/>
      <w:u w:val="single"/>
    </w:rPr>
  </w:style>
  <w:style w:type="paragraph" w:customStyle="1" w:styleId="AssentNote">
    <w:name w:val="Assent Note"/>
    <w:pPr>
      <w:keepLines/>
      <w:spacing w:before="160" w:after="240"/>
      <w:jc w:val="right"/>
    </w:pPr>
    <w:rPr>
      <w:i/>
      <w:snapToGrid w:val="0"/>
      <w:sz w:val="24"/>
    </w:rPr>
  </w:style>
  <w:style w:type="paragraph" w:customStyle="1" w:styleId="Enactment">
    <w:name w:val="Enactment"/>
    <w:pPr>
      <w:spacing w:before="800"/>
    </w:pPr>
    <w:rPr>
      <w:sz w:val="24"/>
    </w:rPr>
  </w:style>
  <w:style w:type="paragraph" w:customStyle="1" w:styleId="Footnotesection">
    <w:name w:val="Footnote(section)"/>
    <w:pPr>
      <w:keepLines/>
      <w:tabs>
        <w:tab w:val="left" w:pos="893"/>
      </w:tabs>
      <w:spacing w:before="120" w:line="260" w:lineRule="atLeast"/>
      <w:ind w:left="893" w:hanging="893"/>
    </w:pPr>
    <w:rPr>
      <w:i/>
      <w:snapToGrid w:val="0"/>
      <w:sz w:val="24"/>
    </w:rPr>
  </w:style>
  <w:style w:type="paragraph" w:styleId="FootnoteText">
    <w:name w:val="footnote text"/>
    <w:basedOn w:val="Normal"/>
    <w:semiHidden/>
  </w:style>
  <w:style w:type="paragraph" w:customStyle="1" w:styleId="LongTitle">
    <w:name w:val="Long Title"/>
    <w:rPr>
      <w:b/>
      <w:sz w:val="24"/>
    </w:rPr>
  </w:style>
  <w:style w:type="paragraph" w:styleId="Signature">
    <w:name w:val="Signature"/>
    <w:basedOn w:val="Normal"/>
    <w:pPr>
      <w:ind w:left="4252"/>
    </w:pPr>
  </w:style>
  <w:style w:type="paragraph" w:styleId="List">
    <w:name w:val="List"/>
    <w:basedOn w:val="Normal"/>
    <w:pPr>
      <w:ind w:left="283" w:hanging="283"/>
    </w:pPr>
  </w:style>
  <w:style w:type="paragraph" w:customStyle="1" w:styleId="Indenta">
    <w:name w:val="Indent(a)"/>
    <w:pPr>
      <w:tabs>
        <w:tab w:val="right" w:pos="1332"/>
        <w:tab w:val="left" w:pos="1616"/>
      </w:tabs>
      <w:spacing w:before="80" w:line="260" w:lineRule="atLeast"/>
      <w:ind w:left="1616" w:hanging="1616"/>
    </w:pPr>
    <w:rPr>
      <w:sz w:val="24"/>
    </w:rPr>
  </w:style>
  <w:style w:type="paragraph" w:customStyle="1" w:styleId="IndentA0">
    <w:name w:val="Indent(A)"/>
    <w:pPr>
      <w:tabs>
        <w:tab w:val="right" w:pos="3686"/>
        <w:tab w:val="left" w:pos="3969"/>
      </w:tabs>
      <w:spacing w:before="80" w:line="260" w:lineRule="atLeast"/>
      <w:ind w:left="3969" w:hanging="3969"/>
    </w:pPr>
    <w:rPr>
      <w:sz w:val="24"/>
    </w:rPr>
  </w:style>
  <w:style w:type="paragraph" w:customStyle="1" w:styleId="Indenti">
    <w:name w:val="Indent(i)"/>
    <w:pPr>
      <w:tabs>
        <w:tab w:val="right" w:pos="2041"/>
        <w:tab w:val="left" w:pos="2325"/>
      </w:tabs>
      <w:spacing w:before="80" w:line="260" w:lineRule="atLeast"/>
      <w:ind w:left="2325" w:hanging="2325"/>
    </w:pPr>
    <w:rPr>
      <w:sz w:val="24"/>
    </w:rPr>
  </w:style>
  <w:style w:type="paragraph" w:customStyle="1" w:styleId="IndentI0">
    <w:name w:val="Indent(I)"/>
    <w:pPr>
      <w:tabs>
        <w:tab w:val="right" w:pos="2892"/>
        <w:tab w:val="left" w:pos="3204"/>
      </w:tabs>
      <w:spacing w:before="80" w:line="260" w:lineRule="atLeast"/>
      <w:ind w:left="3204" w:hanging="3204"/>
    </w:pPr>
    <w:rPr>
      <w:sz w:val="24"/>
    </w:rPr>
  </w:style>
  <w:style w:type="character" w:customStyle="1" w:styleId="CharChapNo">
    <w:name w:val="CharChapNo"/>
    <w:rPr>
      <w:noProof w:val="0"/>
    </w:rPr>
  </w:style>
  <w:style w:type="paragraph" w:customStyle="1" w:styleId="Ednotesubpara">
    <w:name w:val="Ednote(subpara)"/>
    <w:pPr>
      <w:tabs>
        <w:tab w:val="right" w:pos="2047"/>
        <w:tab w:val="left" w:pos="2333"/>
      </w:tabs>
      <w:spacing w:before="80" w:line="260" w:lineRule="atLeast"/>
      <w:ind w:left="2330" w:hanging="2330"/>
    </w:pPr>
    <w:rPr>
      <w:i/>
      <w:sz w:val="24"/>
    </w:rPr>
  </w:style>
  <w:style w:type="paragraph" w:customStyle="1" w:styleId="Ednotepara">
    <w:name w:val="Ednote(para)"/>
    <w:pPr>
      <w:tabs>
        <w:tab w:val="right" w:pos="1325"/>
        <w:tab w:val="left" w:pos="1613"/>
      </w:tabs>
      <w:spacing w:before="120" w:line="260" w:lineRule="atLeast"/>
      <w:ind w:left="1613" w:hanging="1613"/>
    </w:pPr>
    <w:rPr>
      <w:i/>
      <w:sz w:val="24"/>
    </w:rPr>
  </w:style>
  <w:style w:type="paragraph" w:customStyle="1" w:styleId="Footnoteheading">
    <w:name w:val="Footnote(heading)"/>
    <w:pPr>
      <w:tabs>
        <w:tab w:val="left" w:pos="879"/>
      </w:tabs>
      <w:spacing w:before="120" w:line="260" w:lineRule="atLeast"/>
      <w:ind w:left="879" w:hanging="879"/>
    </w:pPr>
    <w:rPr>
      <w:i/>
      <w:sz w:val="24"/>
    </w:rPr>
  </w:style>
  <w:style w:type="character" w:customStyle="1" w:styleId="CharChapText">
    <w:name w:val="CharChapText"/>
    <w:rPr>
      <w:noProof w:val="0"/>
    </w:rPr>
  </w:style>
  <w:style w:type="character" w:customStyle="1" w:styleId="CharDivNo">
    <w:name w:val="CharDivNo"/>
    <w:rPr>
      <w:noProof w:val="0"/>
    </w:rPr>
  </w:style>
  <w:style w:type="character" w:customStyle="1" w:styleId="CharDivText">
    <w:name w:val="CharDivText"/>
    <w:rPr>
      <w:noProof w:val="0"/>
    </w:rPr>
  </w:style>
  <w:style w:type="character" w:customStyle="1" w:styleId="CharPartNo">
    <w:name w:val="CharPartNo"/>
    <w:rPr>
      <w:noProof w:val="0"/>
    </w:rPr>
  </w:style>
  <w:style w:type="character" w:customStyle="1" w:styleId="CharPartText">
    <w:name w:val="CharPartText"/>
    <w:rPr>
      <w:noProof w:val="0"/>
    </w:rPr>
  </w:style>
  <w:style w:type="character" w:customStyle="1" w:styleId="CharSectno">
    <w:name w:val="CharSectno"/>
    <w:rPr>
      <w:noProof w:val="0"/>
    </w:rPr>
  </w:style>
  <w:style w:type="paragraph" w:customStyle="1" w:styleId="MiscClose">
    <w:name w:val="MiscClose"/>
    <w:basedOn w:val="Normal"/>
    <w:pPr>
      <w:keepLines/>
      <w:tabs>
        <w:tab w:val="left" w:pos="893"/>
      </w:tabs>
      <w:spacing w:line="260" w:lineRule="atLeast"/>
      <w:jc w:val="right"/>
    </w:pPr>
  </w:style>
  <w:style w:type="character" w:customStyle="1" w:styleId="CharSchNo">
    <w:name w:val="CharSchNo"/>
    <w:rPr>
      <w:noProof w:val="0"/>
    </w:rPr>
  </w:style>
  <w:style w:type="paragraph" w:customStyle="1" w:styleId="Ednoteitem">
    <w:name w:val="Ednote(item)"/>
    <w:pPr>
      <w:tabs>
        <w:tab w:val="right" w:pos="2765"/>
        <w:tab w:val="left" w:pos="3053"/>
      </w:tabs>
      <w:spacing w:before="80" w:line="260" w:lineRule="atLeast"/>
      <w:ind w:left="3050" w:hanging="3050"/>
    </w:pPr>
    <w:rPr>
      <w:i/>
      <w:sz w:val="24"/>
    </w:rPr>
  </w:style>
  <w:style w:type="paragraph" w:customStyle="1" w:styleId="zHeading1">
    <w:name w:val="zHeading 1"/>
    <w:basedOn w:val="Heading1"/>
    <w:pPr>
      <w:ind w:left="567" w:right="284"/>
      <w:outlineLvl w:val="9"/>
    </w:pPr>
  </w:style>
  <w:style w:type="paragraph" w:customStyle="1" w:styleId="zHeading2">
    <w:name w:val="zHeading 2"/>
    <w:basedOn w:val="Heading2"/>
    <w:pPr>
      <w:pageBreakBefore w:val="0"/>
      <w:spacing w:before="240"/>
      <w:ind w:left="567" w:right="284"/>
      <w:outlineLvl w:val="9"/>
    </w:pPr>
  </w:style>
  <w:style w:type="paragraph" w:customStyle="1" w:styleId="zHeading3">
    <w:name w:val="zHeading 3"/>
    <w:basedOn w:val="Heading3"/>
    <w:pPr>
      <w:ind w:left="567" w:right="284"/>
      <w:outlineLvl w:val="9"/>
    </w:pPr>
  </w:style>
  <w:style w:type="paragraph" w:customStyle="1" w:styleId="zHeading4">
    <w:name w:val="zHeading 4"/>
    <w:basedOn w:val="Heading4"/>
    <w:pPr>
      <w:ind w:left="567" w:right="284"/>
      <w:outlineLvl w:val="9"/>
    </w:pPr>
  </w:style>
  <w:style w:type="paragraph" w:customStyle="1" w:styleId="zHeading5">
    <w:name w:val="zHeading 5"/>
    <w:basedOn w:val="Heading5"/>
    <w:pPr>
      <w:tabs>
        <w:tab w:val="clear" w:pos="879"/>
        <w:tab w:val="left" w:pos="1446"/>
      </w:tabs>
      <w:ind w:left="1446" w:right="284"/>
      <w:outlineLvl w:val="9"/>
    </w:pPr>
  </w:style>
  <w:style w:type="paragraph" w:customStyle="1" w:styleId="yHeading2">
    <w:name w:val="yHeading 2"/>
    <w:basedOn w:val="Heading2"/>
    <w:pPr>
      <w:pageBreakBefore w:val="0"/>
      <w:spacing w:before="240" w:line="240" w:lineRule="auto"/>
    </w:pPr>
    <w:rPr>
      <w:sz w:val="28"/>
    </w:rPr>
  </w:style>
  <w:style w:type="paragraph" w:customStyle="1" w:styleId="yHeading1">
    <w:name w:val="yHeading 1"/>
    <w:basedOn w:val="Heading1"/>
    <w:pPr>
      <w:spacing w:line="240" w:lineRule="auto"/>
    </w:pPr>
    <w:rPr>
      <w:sz w:val="32"/>
    </w:rPr>
  </w:style>
  <w:style w:type="paragraph" w:customStyle="1" w:styleId="yHeading3">
    <w:name w:val="yHeading 3"/>
    <w:basedOn w:val="Heading3"/>
    <w:pPr>
      <w:spacing w:line="240" w:lineRule="auto"/>
    </w:pPr>
    <w:rPr>
      <w:sz w:val="24"/>
    </w:rPr>
  </w:style>
  <w:style w:type="paragraph" w:customStyle="1" w:styleId="yHeading4">
    <w:name w:val="yHeading 4"/>
    <w:basedOn w:val="Heading4"/>
    <w:rPr>
      <w:sz w:val="22"/>
    </w:rPr>
  </w:style>
  <w:style w:type="paragraph" w:customStyle="1" w:styleId="yHeading5">
    <w:name w:val="yHeading 5"/>
    <w:basedOn w:val="Heading5"/>
    <w:pPr>
      <w:spacing w:line="240" w:lineRule="auto"/>
    </w:pPr>
    <w:rPr>
      <w:sz w:val="22"/>
    </w:rPr>
  </w:style>
  <w:style w:type="paragraph" w:customStyle="1" w:styleId="Ednotesubitem">
    <w:name w:val="Ednote(subitem)"/>
    <w:pPr>
      <w:tabs>
        <w:tab w:val="right" w:pos="3485"/>
        <w:tab w:val="left" w:pos="3773"/>
      </w:tabs>
      <w:spacing w:before="80" w:line="260" w:lineRule="atLeast"/>
      <w:ind w:left="3771" w:hanging="3771"/>
    </w:pPr>
    <w:rPr>
      <w:i/>
      <w:sz w:val="24"/>
    </w:rPr>
  </w:style>
  <w:style w:type="paragraph" w:customStyle="1" w:styleId="Penpara">
    <w:name w:val="Penpara"/>
    <w:pPr>
      <w:tabs>
        <w:tab w:val="right" w:pos="1616"/>
        <w:tab w:val="left" w:pos="1899"/>
      </w:tabs>
      <w:spacing w:before="80" w:line="260" w:lineRule="atLeast"/>
      <w:ind w:left="1899" w:hanging="1899"/>
    </w:pPr>
    <w:rPr>
      <w:sz w:val="24"/>
    </w:rPr>
  </w:style>
  <w:style w:type="paragraph" w:customStyle="1" w:styleId="Pensubpara">
    <w:name w:val="Pensubpara"/>
    <w:pPr>
      <w:tabs>
        <w:tab w:val="right" w:pos="2325"/>
        <w:tab w:val="left" w:pos="2608"/>
      </w:tabs>
      <w:spacing w:before="80" w:line="260" w:lineRule="atLeast"/>
      <w:ind w:left="2608" w:hanging="2608"/>
    </w:pPr>
    <w:rPr>
      <w:sz w:val="24"/>
    </w:rPr>
  </w:style>
  <w:style w:type="paragraph" w:customStyle="1" w:styleId="Penitem">
    <w:name w:val="Penitem"/>
    <w:pPr>
      <w:tabs>
        <w:tab w:val="right" w:pos="3119"/>
        <w:tab w:val="left" w:pos="3402"/>
      </w:tabs>
      <w:spacing w:before="80" w:line="260" w:lineRule="atLeast"/>
      <w:ind w:left="3402" w:hanging="3402"/>
    </w:pPr>
    <w:rPr>
      <w:sz w:val="24"/>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24"/>
    </w:rPr>
  </w:style>
  <w:style w:type="paragraph" w:customStyle="1" w:styleId="yIndenta">
    <w:name w:val="yIndent(a)"/>
    <w:basedOn w:val="Indenta"/>
    <w:pPr>
      <w:spacing w:line="240" w:lineRule="auto"/>
    </w:pPr>
    <w:rPr>
      <w:sz w:val="22"/>
    </w:rPr>
  </w:style>
  <w:style w:type="paragraph" w:customStyle="1" w:styleId="yIndentA0">
    <w:name w:val="yIndent(A)"/>
    <w:basedOn w:val="IndentA0"/>
    <w:pPr>
      <w:spacing w:line="240" w:lineRule="auto"/>
    </w:pPr>
    <w:rPr>
      <w:sz w:val="22"/>
    </w:rPr>
  </w:style>
  <w:style w:type="paragraph" w:customStyle="1" w:styleId="yIndentI">
    <w:name w:val="yIndent(I)"/>
    <w:basedOn w:val="IndentI0"/>
    <w:pPr>
      <w:spacing w:line="240" w:lineRule="auto"/>
    </w:pPr>
    <w:rPr>
      <w:sz w:val="22"/>
    </w:rPr>
  </w:style>
  <w:style w:type="paragraph" w:customStyle="1" w:styleId="yIndenti0">
    <w:name w:val="yIndent(i)"/>
    <w:basedOn w:val="Indenti"/>
    <w:pPr>
      <w:spacing w:line="240" w:lineRule="auto"/>
    </w:pPr>
    <w:rPr>
      <w:sz w:val="22"/>
    </w:rPr>
  </w:style>
  <w:style w:type="paragraph" w:customStyle="1" w:styleId="zIndenta">
    <w:name w:val="zIndent(a)"/>
    <w:basedOn w:val="Normal"/>
    <w:pPr>
      <w:tabs>
        <w:tab w:val="right" w:pos="1899"/>
        <w:tab w:val="left" w:pos="2183"/>
      </w:tabs>
      <w:spacing w:before="80" w:line="260" w:lineRule="atLeast"/>
      <w:ind w:left="2183" w:right="284" w:hanging="851"/>
    </w:pPr>
  </w:style>
  <w:style w:type="paragraph" w:customStyle="1" w:styleId="zIndentA0">
    <w:name w:val="zIndent(A)"/>
    <w:basedOn w:val="Normal"/>
    <w:pPr>
      <w:tabs>
        <w:tab w:val="right" w:pos="4253"/>
        <w:tab w:val="left" w:pos="4536"/>
      </w:tabs>
      <w:spacing w:before="80" w:line="260" w:lineRule="atLeast"/>
      <w:ind w:left="4537" w:right="284" w:hanging="851"/>
    </w:pPr>
  </w:style>
  <w:style w:type="paragraph" w:customStyle="1" w:styleId="zIndenti">
    <w:name w:val="zIndent(i)"/>
    <w:basedOn w:val="Normal"/>
    <w:pPr>
      <w:tabs>
        <w:tab w:val="right" w:pos="2608"/>
        <w:tab w:val="left" w:pos="2892"/>
      </w:tabs>
      <w:spacing w:before="80" w:line="260" w:lineRule="atLeast"/>
      <w:ind w:left="2892" w:right="284" w:hanging="851"/>
    </w:pPr>
  </w:style>
  <w:style w:type="paragraph" w:customStyle="1" w:styleId="zIndentI0">
    <w:name w:val="zIndent(I)"/>
    <w:basedOn w:val="Normal"/>
    <w:pPr>
      <w:tabs>
        <w:tab w:val="right" w:pos="3459"/>
        <w:tab w:val="left" w:pos="3771"/>
      </w:tabs>
      <w:spacing w:before="80" w:line="260" w:lineRule="atLeast"/>
      <w:ind w:left="3743" w:right="284" w:hanging="851"/>
    </w:pPr>
  </w:style>
  <w:style w:type="paragraph" w:customStyle="1" w:styleId="yPenstart">
    <w:name w:val="yPenstart"/>
    <w:basedOn w:val="Penstart"/>
    <w:pPr>
      <w:spacing w:line="240" w:lineRule="auto"/>
    </w:pPr>
    <w:rPr>
      <w:sz w:val="22"/>
    </w:rPr>
  </w:style>
  <w:style w:type="paragraph" w:customStyle="1" w:styleId="yPenpara">
    <w:name w:val="yPenpara"/>
    <w:basedOn w:val="Penpara"/>
    <w:pPr>
      <w:spacing w:line="240" w:lineRule="auto"/>
    </w:pPr>
    <w:rPr>
      <w:sz w:val="22"/>
    </w:rPr>
  </w:style>
  <w:style w:type="paragraph" w:customStyle="1" w:styleId="yPensubpara">
    <w:name w:val="yPensubpara"/>
    <w:basedOn w:val="Pensubpara"/>
    <w:pPr>
      <w:spacing w:line="240" w:lineRule="auto"/>
    </w:pPr>
    <w:rPr>
      <w:sz w:val="22"/>
    </w:rPr>
  </w:style>
  <w:style w:type="paragraph" w:customStyle="1" w:styleId="yPenitem">
    <w:name w:val="yPenitem"/>
    <w:basedOn w:val="Penitem"/>
    <w:pPr>
      <w:spacing w:line="240" w:lineRule="auto"/>
    </w:pPr>
    <w:rPr>
      <w:sz w:val="22"/>
    </w:rPr>
  </w:style>
  <w:style w:type="paragraph" w:customStyle="1" w:styleId="zPenpara">
    <w:name w:val="zPenpara"/>
    <w:basedOn w:val="Normal"/>
    <w:pPr>
      <w:tabs>
        <w:tab w:val="right" w:pos="2155"/>
        <w:tab w:val="left" w:pos="2438"/>
      </w:tabs>
      <w:spacing w:before="80" w:line="260" w:lineRule="atLeast"/>
      <w:ind w:left="2439" w:right="284" w:hanging="2070"/>
    </w:pPr>
  </w:style>
  <w:style w:type="paragraph" w:customStyle="1" w:styleId="zPensubpara">
    <w:name w:val="zPensubpara"/>
    <w:basedOn w:val="Normal"/>
    <w:pPr>
      <w:tabs>
        <w:tab w:val="right" w:pos="2608"/>
        <w:tab w:val="left" w:pos="2892"/>
      </w:tabs>
      <w:spacing w:before="160" w:line="260" w:lineRule="atLeast"/>
      <w:ind w:left="2892" w:right="284" w:hanging="851"/>
    </w:pPr>
  </w:style>
  <w:style w:type="paragraph" w:customStyle="1" w:styleId="zPenitem">
    <w:name w:val="zPenitem"/>
    <w:basedOn w:val="Normal"/>
    <w:pPr>
      <w:tabs>
        <w:tab w:val="right" w:pos="3402"/>
        <w:tab w:val="left" w:pos="3686"/>
      </w:tabs>
      <w:spacing w:before="80" w:line="260" w:lineRule="atLeast"/>
      <w:ind w:left="3686" w:right="284" w:hanging="851"/>
    </w:pPr>
  </w:style>
  <w:style w:type="paragraph" w:customStyle="1" w:styleId="yDefpara">
    <w:name w:val="yDefpara"/>
    <w:pPr>
      <w:tabs>
        <w:tab w:val="right" w:pos="1332"/>
      </w:tabs>
      <w:spacing w:before="80"/>
      <w:ind w:left="1616" w:hanging="1616"/>
    </w:pPr>
    <w:rPr>
      <w:snapToGrid w:val="0"/>
      <w:sz w:val="22"/>
    </w:rPr>
  </w:style>
  <w:style w:type="paragraph" w:customStyle="1" w:styleId="yDefstart">
    <w:name w:val="yDefstart"/>
    <w:pPr>
      <w:spacing w:before="80"/>
      <w:ind w:left="879" w:hanging="879"/>
    </w:pPr>
    <w:rPr>
      <w:snapToGrid w:val="0"/>
      <w:sz w:val="22"/>
    </w:rPr>
  </w:style>
  <w:style w:type="paragraph" w:customStyle="1" w:styleId="yDefsubpara">
    <w:name w:val="yDefsubpara"/>
    <w:pPr>
      <w:keepLines/>
      <w:tabs>
        <w:tab w:val="right" w:pos="2041"/>
      </w:tabs>
      <w:spacing w:before="80"/>
      <w:ind w:left="2325" w:hanging="2325"/>
    </w:pPr>
    <w:rPr>
      <w:snapToGrid w:val="0"/>
      <w:sz w:val="22"/>
    </w:rPr>
  </w:style>
  <w:style w:type="paragraph" w:customStyle="1" w:styleId="yDefitem">
    <w:name w:val="yDefitem"/>
    <w:pPr>
      <w:tabs>
        <w:tab w:val="right" w:pos="2892"/>
      </w:tabs>
      <w:spacing w:before="80"/>
      <w:ind w:left="3204" w:hanging="3204"/>
    </w:pPr>
    <w:rPr>
      <w:snapToGrid w:val="0"/>
      <w:sz w:val="22"/>
    </w:rPr>
  </w:style>
  <w:style w:type="paragraph" w:customStyle="1" w:styleId="zDefstart">
    <w:name w:val="zDefstart"/>
    <w:pPr>
      <w:spacing w:before="80" w:line="260" w:lineRule="atLeast"/>
      <w:ind w:left="1446" w:right="284" w:hanging="879"/>
    </w:pPr>
    <w:rPr>
      <w:snapToGrid w:val="0"/>
      <w:sz w:val="24"/>
    </w:rPr>
  </w:style>
  <w:style w:type="paragraph" w:customStyle="1" w:styleId="zDefpara">
    <w:name w:val="zDefpara"/>
    <w:pPr>
      <w:tabs>
        <w:tab w:val="right" w:pos="1899"/>
      </w:tabs>
      <w:spacing w:before="80" w:line="260" w:lineRule="atLeast"/>
      <w:ind w:left="2183" w:right="284" w:hanging="1616"/>
    </w:pPr>
    <w:rPr>
      <w:snapToGrid w:val="0"/>
      <w:sz w:val="24"/>
    </w:rPr>
  </w:style>
  <w:style w:type="paragraph" w:customStyle="1" w:styleId="zDefsubpara">
    <w:name w:val="zDefsubpara"/>
    <w:pPr>
      <w:keepLines/>
      <w:tabs>
        <w:tab w:val="right" w:pos="2608"/>
      </w:tabs>
      <w:spacing w:before="80" w:line="260" w:lineRule="atLeast"/>
      <w:ind w:left="2892" w:right="284" w:hanging="2325"/>
    </w:pPr>
    <w:rPr>
      <w:snapToGrid w:val="0"/>
      <w:sz w:val="24"/>
    </w:rPr>
  </w:style>
  <w:style w:type="paragraph" w:customStyle="1" w:styleId="zyDefpara">
    <w:name w:val="zyDefpara"/>
    <w:pPr>
      <w:tabs>
        <w:tab w:val="right" w:pos="1899"/>
      </w:tabs>
      <w:spacing w:before="80"/>
      <w:ind w:left="2183" w:right="284" w:hanging="1616"/>
    </w:pPr>
    <w:rPr>
      <w:snapToGrid w:val="0"/>
      <w:sz w:val="22"/>
    </w:rPr>
  </w:style>
  <w:style w:type="paragraph" w:customStyle="1" w:styleId="zyDefstart">
    <w:name w:val="zyDefstart"/>
    <w:pPr>
      <w:spacing w:before="80"/>
      <w:ind w:left="1446" w:right="284" w:hanging="879"/>
    </w:pPr>
    <w:rPr>
      <w:snapToGrid w:val="0"/>
      <w:sz w:val="22"/>
    </w:rPr>
  </w:style>
  <w:style w:type="paragraph" w:customStyle="1" w:styleId="zyDefsubpara">
    <w:name w:val="zyDefsubpara"/>
    <w:pPr>
      <w:keepLines/>
      <w:tabs>
        <w:tab w:val="right" w:pos="2608"/>
      </w:tabs>
      <w:spacing w:before="80"/>
      <w:ind w:left="2892" w:right="284" w:hanging="2325"/>
    </w:pPr>
    <w:rPr>
      <w:snapToGrid w:val="0"/>
      <w:sz w:val="22"/>
    </w:rPr>
  </w:style>
  <w:style w:type="paragraph" w:customStyle="1" w:styleId="zyHeading1">
    <w:name w:val="zyHeading 1"/>
    <w:basedOn w:val="zHeading1"/>
    <w:pPr>
      <w:spacing w:line="240" w:lineRule="auto"/>
    </w:pPr>
    <w:rPr>
      <w:sz w:val="32"/>
    </w:rPr>
  </w:style>
  <w:style w:type="paragraph" w:customStyle="1" w:styleId="zyHeading2">
    <w:name w:val="zyHeading 2"/>
    <w:basedOn w:val="zHeading2"/>
    <w:pPr>
      <w:spacing w:line="240" w:lineRule="auto"/>
    </w:pPr>
    <w:rPr>
      <w:sz w:val="28"/>
    </w:rPr>
  </w:style>
  <w:style w:type="paragraph" w:customStyle="1" w:styleId="zyHeading3">
    <w:name w:val="zyHeading 3"/>
    <w:basedOn w:val="zHeading3"/>
    <w:pPr>
      <w:spacing w:line="240" w:lineRule="auto"/>
    </w:pPr>
    <w:rPr>
      <w:sz w:val="24"/>
    </w:rPr>
  </w:style>
  <w:style w:type="paragraph" w:customStyle="1" w:styleId="zyHeading4">
    <w:name w:val="zyHeading 4"/>
    <w:basedOn w:val="zHeading4"/>
    <w:rPr>
      <w:sz w:val="22"/>
    </w:rPr>
  </w:style>
  <w:style w:type="paragraph" w:customStyle="1" w:styleId="zyHeading5">
    <w:name w:val="zyHeading 5"/>
    <w:basedOn w:val="zHeading5"/>
    <w:pPr>
      <w:spacing w:line="240" w:lineRule="auto"/>
    </w:pPr>
    <w:rPr>
      <w:sz w:val="22"/>
    </w:rPr>
  </w:style>
  <w:style w:type="paragraph" w:customStyle="1" w:styleId="zyIndenta">
    <w:name w:val="zyIndent(a)"/>
    <w:basedOn w:val="zIndenta"/>
    <w:pPr>
      <w:spacing w:line="240" w:lineRule="auto"/>
    </w:pPr>
    <w:rPr>
      <w:sz w:val="22"/>
    </w:rPr>
  </w:style>
  <w:style w:type="paragraph" w:customStyle="1" w:styleId="zyIndentA0">
    <w:name w:val="zyIndent(A)"/>
    <w:basedOn w:val="zIndentA0"/>
    <w:pPr>
      <w:spacing w:line="240" w:lineRule="auto"/>
    </w:pPr>
    <w:rPr>
      <w:sz w:val="22"/>
    </w:rPr>
  </w:style>
  <w:style w:type="paragraph" w:customStyle="1" w:styleId="zyIndenti">
    <w:name w:val="zyIndent(i)"/>
    <w:basedOn w:val="zIndenti"/>
    <w:pPr>
      <w:spacing w:line="240" w:lineRule="auto"/>
    </w:pPr>
    <w:rPr>
      <w:sz w:val="22"/>
    </w:rPr>
  </w:style>
  <w:style w:type="paragraph" w:customStyle="1" w:styleId="zyIndentI0">
    <w:name w:val="zyIndent(I)"/>
    <w:basedOn w:val="zIndentI0"/>
    <w:pPr>
      <w:spacing w:line="240" w:lineRule="auto"/>
    </w:pPr>
    <w:rPr>
      <w:sz w:val="22"/>
    </w:rPr>
  </w:style>
  <w:style w:type="paragraph" w:customStyle="1" w:styleId="zyPenitem">
    <w:name w:val="zyPenitem"/>
    <w:basedOn w:val="zPenitem"/>
    <w:pPr>
      <w:spacing w:line="240" w:lineRule="auto"/>
    </w:pPr>
    <w:rPr>
      <w:sz w:val="22"/>
    </w:rPr>
  </w:style>
  <w:style w:type="paragraph" w:customStyle="1" w:styleId="zyPenpara">
    <w:name w:val="zyPenpara"/>
    <w:basedOn w:val="zPenpara"/>
    <w:pPr>
      <w:spacing w:line="240" w:lineRule="auto"/>
    </w:pPr>
    <w:rPr>
      <w:sz w:val="22"/>
    </w:rPr>
  </w:style>
  <w:style w:type="paragraph" w:customStyle="1" w:styleId="zyPenstart">
    <w:name w:val="zyPenstart"/>
    <w:basedOn w:val="zPenstart"/>
    <w:pPr>
      <w:spacing w:line="240" w:lineRule="auto"/>
    </w:pPr>
    <w:rPr>
      <w:sz w:val="22"/>
    </w:rPr>
  </w:style>
  <w:style w:type="paragraph" w:customStyle="1" w:styleId="zyPensubpara">
    <w:name w:val="zyPensubpara"/>
    <w:basedOn w:val="zPensubpara"/>
    <w:pPr>
      <w:spacing w:line="240" w:lineRule="auto"/>
      <w:ind w:left="3459" w:hanging="2892"/>
    </w:pPr>
    <w:rPr>
      <w:sz w:val="22"/>
    </w:rPr>
  </w:style>
  <w:style w:type="paragraph" w:customStyle="1" w:styleId="zySubsection">
    <w:name w:val="zySubsection"/>
    <w:basedOn w:val="zSubsection"/>
    <w:pPr>
      <w:spacing w:line="240" w:lineRule="auto"/>
    </w:pPr>
    <w:rPr>
      <w:sz w:val="22"/>
    </w:r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8"/>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8"/>
    </w:rPr>
  </w:style>
  <w:style w:type="paragraph" w:styleId="Caption">
    <w:name w:val="caption"/>
    <w:basedOn w:val="Normal"/>
    <w:next w:val="Normal"/>
    <w:qFormat/>
    <w:pPr>
      <w:spacing w:before="120" w:after="120"/>
    </w:pPr>
    <w:rPr>
      <w:b/>
    </w:rPr>
  </w:style>
  <w:style w:type="paragraph" w:styleId="Closing">
    <w:name w:val="Closing"/>
    <w:basedOn w:val="Normal"/>
    <w:pPr>
      <w:ind w:left="4252"/>
    </w:pPr>
  </w:style>
  <w:style w:type="character" w:styleId="CommentReference">
    <w:name w:val="annotation reference"/>
    <w:basedOn w:val="DefaultParagraphFont"/>
    <w:semiHidden/>
    <w:rPr>
      <w:noProof w:val="0"/>
      <w:sz w:val="18"/>
    </w:rPr>
  </w:style>
  <w:style w:type="paragraph" w:styleId="CommentText">
    <w:name w:val="annotation text"/>
    <w:basedOn w:val="Normal"/>
    <w:semiHidden/>
  </w:style>
  <w:style w:type="paragraph" w:styleId="Date">
    <w:name w:val="Date"/>
    <w:basedOn w:val="Normal"/>
    <w:next w:val="Normal"/>
  </w:style>
  <w:style w:type="character" w:styleId="Emphasis">
    <w:name w:val="Emphasis"/>
    <w:basedOn w:val="DefaultParagraphFont"/>
    <w:qFormat/>
    <w:rPr>
      <w:i/>
      <w:sz w:val="24"/>
    </w:rPr>
  </w:style>
  <w:style w:type="paragraph" w:styleId="EndnoteText">
    <w:name w:val="endnote text"/>
    <w:basedOn w:val="Normal"/>
    <w:semiHidden/>
    <w:pPr>
      <w:spacing w:after="40"/>
      <w:ind w:left="397" w:hanging="397"/>
    </w:pPr>
  </w:style>
  <w:style w:type="paragraph" w:styleId="EnvelopeAddress">
    <w:name w:val="envelope address"/>
    <w:basedOn w:val="Normal"/>
    <w:pPr>
      <w:framePr w:w="7920" w:h="1980" w:hRule="exact" w:hSpace="180" w:wrap="auto" w:hAnchor="page" w:xAlign="center" w:yAlign="bottom"/>
      <w:ind w:left="2880"/>
    </w:pPr>
    <w:rPr>
      <w:rFonts w:ascii="Arial" w:hAnsi="Arial"/>
      <w:sz w:val="26"/>
    </w:rPr>
  </w:style>
  <w:style w:type="paragraph" w:styleId="EnvelopeReturn">
    <w:name w:val="envelope return"/>
    <w:basedOn w:val="Normal"/>
    <w:rPr>
      <w:rFonts w:ascii="Arial" w:hAnsi="Arial"/>
    </w:rPr>
  </w:style>
  <w:style w:type="character" w:styleId="FootnoteReference">
    <w:name w:val="footnote reference"/>
    <w:basedOn w:val="DefaultParagraphFont"/>
    <w:semiHidden/>
    <w:rPr>
      <w:sz w:val="24"/>
      <w:vertAlign w:val="superscript"/>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b/>
    </w:r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autoRedefine/>
    <w:pPr>
      <w:tabs>
        <w:tab w:val="num" w:pos="360"/>
      </w:tabs>
    </w:pPr>
  </w:style>
  <w:style w:type="paragraph" w:styleId="ListBullet2">
    <w:name w:val="List Bullet 2"/>
    <w:basedOn w:val="Normal"/>
    <w:autoRedefine/>
    <w:pPr>
      <w:tabs>
        <w:tab w:val="num" w:pos="360"/>
        <w:tab w:val="num" w:pos="720"/>
      </w:tabs>
      <w:ind w:left="720"/>
    </w:pPr>
  </w:style>
  <w:style w:type="paragraph" w:styleId="ListBullet3">
    <w:name w:val="List Bullet 3"/>
    <w:basedOn w:val="Normal"/>
    <w:autoRedefine/>
    <w:pPr>
      <w:tabs>
        <w:tab w:val="num" w:pos="360"/>
        <w:tab w:val="num" w:pos="1080"/>
      </w:tabs>
      <w:ind w:left="1080"/>
    </w:pPr>
  </w:style>
  <w:style w:type="paragraph" w:styleId="ListBullet4">
    <w:name w:val="List Bullet 4"/>
    <w:basedOn w:val="Normal"/>
    <w:autoRedefine/>
    <w:pPr>
      <w:tabs>
        <w:tab w:val="num" w:pos="360"/>
        <w:tab w:val="num" w:pos="1440"/>
      </w:tabs>
      <w:ind w:left="1440"/>
    </w:pPr>
  </w:style>
  <w:style w:type="paragraph" w:styleId="ListBullet5">
    <w:name w:val="List Bullet 5"/>
    <w:basedOn w:val="Normal"/>
    <w:autoRedefine/>
    <w:pPr>
      <w:tabs>
        <w:tab w:val="num" w:pos="360"/>
        <w:tab w:val="num" w:pos="1800"/>
      </w:tabs>
      <w:ind w:left="1800"/>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tabs>
        <w:tab w:val="num" w:pos="360"/>
      </w:tabs>
    </w:pPr>
  </w:style>
  <w:style w:type="paragraph" w:styleId="ListNumber2">
    <w:name w:val="List Number 2"/>
    <w:basedOn w:val="Normal"/>
    <w:pPr>
      <w:tabs>
        <w:tab w:val="num" w:pos="360"/>
        <w:tab w:val="num" w:pos="720"/>
      </w:tabs>
      <w:ind w:left="720"/>
    </w:pPr>
  </w:style>
  <w:style w:type="paragraph" w:styleId="ListNumber3">
    <w:name w:val="List Number 3"/>
    <w:basedOn w:val="Normal"/>
    <w:pPr>
      <w:tabs>
        <w:tab w:val="num" w:pos="360"/>
        <w:tab w:val="num" w:pos="1080"/>
      </w:tabs>
      <w:ind w:left="1080"/>
    </w:pPr>
  </w:style>
  <w:style w:type="paragraph" w:styleId="ListNumber4">
    <w:name w:val="List Number 4"/>
    <w:basedOn w:val="Normal"/>
    <w:pPr>
      <w:tabs>
        <w:tab w:val="num" w:pos="360"/>
        <w:tab w:val="num" w:pos="1440"/>
      </w:tabs>
      <w:ind w:left="1440"/>
    </w:pPr>
  </w:style>
  <w:style w:type="paragraph" w:styleId="ListNumber5">
    <w:name w:val="List Number 5"/>
    <w:basedOn w:val="Normal"/>
    <w:pPr>
      <w:tabs>
        <w:tab w:val="num" w:pos="360"/>
        <w:tab w:val="num" w:pos="1800"/>
      </w:tabs>
      <w:ind w:left="1800"/>
    </w:p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 w:val="26"/>
    </w:rPr>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styleId="Subtitle">
    <w:name w:val="Subtitle"/>
    <w:basedOn w:val="Normal"/>
    <w:qFormat/>
    <w:pPr>
      <w:spacing w:after="60"/>
      <w:jc w:val="center"/>
      <w:outlineLvl w:val="1"/>
    </w:pPr>
    <w:rPr>
      <w:rFonts w:ascii="Arial" w:hAnsi="Arial"/>
      <w:sz w:val="26"/>
    </w:rPr>
  </w:style>
  <w:style w:type="paragraph" w:styleId="TableofAuthorities">
    <w:name w:val="table of authorities"/>
    <w:basedOn w:val="Normal"/>
    <w:next w:val="Normal"/>
    <w:semiHidden/>
    <w:pPr>
      <w:ind w:left="220" w:hanging="220"/>
    </w:pPr>
  </w:style>
  <w:style w:type="paragraph" w:styleId="TableofFigures">
    <w:name w:val="table of figures"/>
    <w:basedOn w:val="Normal"/>
    <w:next w:val="Normal"/>
    <w:semiHidden/>
    <w:pPr>
      <w:ind w:left="440" w:hanging="440"/>
    </w:pPr>
  </w:style>
  <w:style w:type="paragraph" w:styleId="Title">
    <w:name w:val="Title"/>
    <w:basedOn w:val="Normal"/>
    <w:qFormat/>
    <w:pPr>
      <w:spacing w:before="240" w:after="60"/>
      <w:jc w:val="center"/>
      <w:outlineLvl w:val="0"/>
    </w:pPr>
    <w:rPr>
      <w:rFonts w:ascii="Arial" w:hAnsi="Arial"/>
      <w:b/>
      <w:kern w:val="28"/>
      <w:sz w:val="34"/>
    </w:rPr>
  </w:style>
  <w:style w:type="paragraph" w:styleId="TOAHeading">
    <w:name w:val="toa heading"/>
    <w:basedOn w:val="Normal"/>
    <w:next w:val="Normal"/>
    <w:semiHidden/>
    <w:pPr>
      <w:spacing w:before="120"/>
    </w:pPr>
    <w:rPr>
      <w:rFonts w:ascii="Arial" w:hAnsi="Arial"/>
      <w:b/>
      <w:sz w:val="26"/>
    </w:rPr>
  </w:style>
  <w:style w:type="paragraph" w:customStyle="1" w:styleId="WA">
    <w:name w:val="WA"/>
    <w:pPr>
      <w:spacing w:after="720"/>
      <w:jc w:val="center"/>
    </w:pPr>
    <w:rPr>
      <w:sz w:val="24"/>
    </w:rPr>
  </w:style>
  <w:style w:type="paragraph" w:customStyle="1" w:styleId="NameofActRegPage1">
    <w:name w:val="Name of Act/Reg(Page 1)"/>
    <w:basedOn w:val="NameofActReg"/>
    <w:pPr>
      <w:spacing w:before="0" w:after="720"/>
    </w:pPr>
  </w:style>
  <w:style w:type="paragraph" w:customStyle="1" w:styleId="yEdnotesection">
    <w:name w:val="yEdnote(section)"/>
    <w:basedOn w:val="Ednotesection"/>
    <w:pPr>
      <w:spacing w:line="240" w:lineRule="auto"/>
      <w:ind w:left="890" w:hanging="890"/>
    </w:pPr>
    <w:rPr>
      <w:sz w:val="22"/>
    </w:rPr>
  </w:style>
  <w:style w:type="paragraph" w:customStyle="1" w:styleId="yEdnotepara">
    <w:name w:val="yEdnote(para)"/>
    <w:basedOn w:val="Ednotepara"/>
    <w:pPr>
      <w:spacing w:before="80" w:line="240" w:lineRule="auto"/>
      <w:ind w:left="1610" w:hanging="1610"/>
    </w:pPr>
    <w:rPr>
      <w:sz w:val="22"/>
    </w:rPr>
  </w:style>
  <w:style w:type="paragraph" w:customStyle="1" w:styleId="yEdnotesubpara">
    <w:name w:val="yEdnote(subpara)"/>
    <w:basedOn w:val="Ednotesubpara"/>
    <w:pPr>
      <w:spacing w:line="240" w:lineRule="auto"/>
    </w:pPr>
    <w:rPr>
      <w:sz w:val="22"/>
    </w:rPr>
  </w:style>
  <w:style w:type="paragraph" w:customStyle="1" w:styleId="yEdnoteitem">
    <w:name w:val="yEdnote(item)"/>
    <w:basedOn w:val="Ednoteitem"/>
    <w:pPr>
      <w:spacing w:line="240" w:lineRule="auto"/>
    </w:pPr>
    <w:rPr>
      <w:sz w:val="22"/>
    </w:rPr>
  </w:style>
  <w:style w:type="paragraph" w:customStyle="1" w:styleId="yEdnotesubitem">
    <w:name w:val="yEdnote(subitem)"/>
    <w:basedOn w:val="Ednotesubitem"/>
    <w:pPr>
      <w:spacing w:line="240" w:lineRule="auto"/>
    </w:pPr>
    <w:rPr>
      <w:sz w:val="22"/>
    </w:rPr>
  </w:style>
  <w:style w:type="paragraph" w:customStyle="1" w:styleId="Ednotedefpara">
    <w:name w:val="Ednote(defpara)"/>
    <w:basedOn w:val="Defpara"/>
    <w:rPr>
      <w:i/>
    </w:rPr>
  </w:style>
  <w:style w:type="paragraph" w:customStyle="1" w:styleId="Ednotedefitem">
    <w:name w:val="Ednote(defitem)"/>
    <w:basedOn w:val="Defitem"/>
    <w:rPr>
      <w:i/>
    </w:rPr>
  </w:style>
  <w:style w:type="paragraph" w:customStyle="1" w:styleId="Ednotedefsubpara">
    <w:name w:val="Ednote(defsubpara)"/>
    <w:basedOn w:val="Defsubpara"/>
    <w:rPr>
      <w:i/>
    </w:rPr>
  </w:style>
  <w:style w:type="paragraph" w:customStyle="1" w:styleId="Ednotepenpara">
    <w:name w:val="Ednote(penpara)"/>
    <w:basedOn w:val="Ednotepara"/>
  </w:style>
  <w:style w:type="paragraph" w:customStyle="1" w:styleId="Ednotepenitem">
    <w:name w:val="Ednote(penitem)"/>
    <w:basedOn w:val="Ednoteitem"/>
  </w:style>
  <w:style w:type="paragraph" w:customStyle="1" w:styleId="Ednotepensubpara">
    <w:name w:val="Ednote(pensubpara)"/>
    <w:basedOn w:val="Ednotesubpara"/>
  </w:style>
  <w:style w:type="paragraph" w:customStyle="1" w:styleId="Arrangement">
    <w:name w:val="Arrangement"/>
    <w:pPr>
      <w:spacing w:after="480"/>
      <w:ind w:left="2304" w:right="2304"/>
      <w:jc w:val="center"/>
    </w:pPr>
    <w:rPr>
      <w:b/>
      <w:sz w:val="28"/>
    </w:rPr>
  </w:style>
  <w:style w:type="paragraph" w:customStyle="1" w:styleId="yFootnotesection">
    <w:name w:val="yFootnote(section)"/>
    <w:basedOn w:val="Footnotesection"/>
    <w:pPr>
      <w:spacing w:line="240" w:lineRule="auto"/>
      <w:ind w:left="890" w:hanging="890"/>
    </w:pPr>
    <w:rPr>
      <w:sz w:val="22"/>
    </w:rPr>
  </w:style>
  <w:style w:type="paragraph" w:customStyle="1" w:styleId="nHeading2">
    <w:name w:val="nHeading 2"/>
    <w:qFormat/>
    <w:pPr>
      <w:keepNext/>
      <w:jc w:val="center"/>
      <w:outlineLvl w:val="1"/>
    </w:pPr>
    <w:rPr>
      <w:b/>
      <w:sz w:val="32"/>
    </w:rPr>
  </w:style>
  <w:style w:type="paragraph" w:customStyle="1" w:styleId="nHeading3">
    <w:name w:val="nHeading 3"/>
    <w:qFormat/>
    <w:pPr>
      <w:keepNext/>
      <w:spacing w:before="240" w:after="120"/>
      <w:jc w:val="center"/>
      <w:outlineLvl w:val="2"/>
    </w:pPr>
    <w:rPr>
      <w:b/>
      <w:sz w:val="26"/>
    </w:rPr>
  </w:style>
  <w:style w:type="paragraph" w:customStyle="1" w:styleId="MiscOpen">
    <w:name w:val="MiscOpen"/>
    <w:pPr>
      <w:keepNext/>
      <w:keepLines/>
      <w:tabs>
        <w:tab w:val="left" w:pos="893"/>
      </w:tabs>
      <w:spacing w:before="120" w:line="260" w:lineRule="atLeast"/>
    </w:pPr>
    <w:rPr>
      <w:sz w:val="24"/>
    </w:rPr>
  </w:style>
  <w:style w:type="paragraph" w:customStyle="1" w:styleId="Ednotesubsection">
    <w:name w:val="Ednote(subsection)"/>
    <w:basedOn w:val="Ednotesection"/>
    <w:pPr>
      <w:tabs>
        <w:tab w:val="clear" w:pos="893"/>
        <w:tab w:val="right" w:pos="595"/>
        <w:tab w:val="left" w:pos="879"/>
      </w:tabs>
      <w:spacing w:before="160"/>
      <w:ind w:left="890" w:hanging="890"/>
      <w:outlineLvl w:val="9"/>
    </w:pPr>
  </w:style>
  <w:style w:type="paragraph" w:customStyle="1" w:styleId="MiscellaneousHeading">
    <w:name w:val="Miscellaneous Heading"/>
    <w:pPr>
      <w:keepNext/>
      <w:spacing w:before="160" w:line="260" w:lineRule="atLeast"/>
      <w:jc w:val="center"/>
    </w:pPr>
    <w:rPr>
      <w:sz w:val="24"/>
    </w:rPr>
  </w:style>
  <w:style w:type="paragraph" w:customStyle="1" w:styleId="MiscellaneousBody">
    <w:name w:val="Miscellaneous Body"/>
    <w:basedOn w:val="MiscellaneousHeading"/>
    <w:pPr>
      <w:keepNext w:val="0"/>
      <w:jc w:val="left"/>
    </w:pPr>
  </w:style>
  <w:style w:type="paragraph" w:customStyle="1" w:styleId="MiscellaneousFootnotes">
    <w:name w:val="Miscellaneous Footnotes"/>
    <w:basedOn w:val="MiscellaneousBody"/>
  </w:style>
  <w:style w:type="paragraph" w:customStyle="1" w:styleId="yShoulderClause">
    <w:name w:val="yShoulderClause"/>
    <w:next w:val="ySubsection"/>
    <w:pPr>
      <w:spacing w:before="120"/>
      <w:jc w:val="right"/>
    </w:pPr>
    <w:rPr>
      <w:sz w:val="22"/>
    </w:rPr>
  </w:style>
  <w:style w:type="paragraph" w:customStyle="1" w:styleId="yScheduleHeading">
    <w:name w:val="yScheduleHeading"/>
    <w:basedOn w:val="yHeading2"/>
    <w:pPr>
      <w:pageBreakBefore/>
      <w:spacing w:before="0"/>
    </w:pPr>
  </w:style>
  <w:style w:type="character" w:customStyle="1" w:styleId="CharProduced">
    <w:name w:val="CharProduced"/>
    <w:rPr>
      <w:noProof w:val="0"/>
      <w:spacing w:val="-3"/>
    </w:rPr>
  </w:style>
  <w:style w:type="paragraph" w:customStyle="1" w:styleId="FooterDisclaimer">
    <w:name w:val="Footer.Disclaimer"/>
    <w:pPr>
      <w:jc w:val="center"/>
    </w:pPr>
    <w:rPr>
      <w:rFonts w:ascii="Arial" w:hAnsi="Arial"/>
      <w:i/>
      <w:sz w:val="16"/>
    </w:rPr>
  </w:style>
  <w:style w:type="paragraph" w:styleId="TOC3">
    <w:name w:val="toc 3"/>
    <w:next w:val="Normal"/>
    <w:semiHidden/>
    <w:pPr>
      <w:keepNext/>
      <w:spacing w:before="120" w:after="60"/>
      <w:ind w:left="1985" w:right="1134" w:hanging="567"/>
    </w:pPr>
    <w:rPr>
      <w:rFonts w:ascii="Helvetica" w:hAnsi="Helvetica"/>
      <w:b/>
      <w:noProof/>
      <w:sz w:val="18"/>
    </w:rPr>
  </w:style>
  <w:style w:type="paragraph" w:customStyle="1" w:styleId="yTable">
    <w:name w:val="yTable"/>
    <w:basedOn w:val="Table"/>
    <w:pPr>
      <w:spacing w:line="240" w:lineRule="auto"/>
    </w:pPr>
  </w:style>
  <w:style w:type="paragraph" w:customStyle="1" w:styleId="nTable">
    <w:name w:val="nTable"/>
    <w:pPr>
      <w:spacing w:before="40"/>
    </w:pPr>
    <w:rPr>
      <w:sz w:val="19"/>
    </w:rPr>
  </w:style>
  <w:style w:type="paragraph" w:customStyle="1" w:styleId="zMiscellaneousHeading">
    <w:name w:val="zMiscellaneousHeading"/>
    <w:basedOn w:val="MiscellaneousHeading"/>
    <w:pPr>
      <w:ind w:left="567" w:right="284"/>
    </w:pPr>
  </w:style>
  <w:style w:type="paragraph" w:customStyle="1" w:styleId="zMiscellaneousBody">
    <w:name w:val="zMiscellaneousBody"/>
    <w:basedOn w:val="Normal"/>
    <w:pPr>
      <w:spacing w:before="160" w:line="260" w:lineRule="atLeast"/>
      <w:ind w:left="567" w:right="284"/>
    </w:pPr>
  </w:style>
  <w:style w:type="paragraph" w:customStyle="1" w:styleId="ABillFor">
    <w:name w:val="ABillFor"/>
    <w:basedOn w:val="Normal"/>
    <w:pPr>
      <w:spacing w:before="240" w:after="600"/>
      <w:jc w:val="center"/>
    </w:pPr>
    <w:rPr>
      <w:b/>
    </w:rPr>
  </w:style>
  <w:style w:type="paragraph" w:customStyle="1" w:styleId="yFootnoteheading">
    <w:name w:val="yFootnote(heading)"/>
    <w:basedOn w:val="Footnoteheading"/>
    <w:pPr>
      <w:spacing w:line="240" w:lineRule="auto"/>
    </w:pPr>
    <w:rPr>
      <w:sz w:val="22"/>
    </w:rPr>
  </w:style>
  <w:style w:type="paragraph" w:customStyle="1" w:styleId="PrincipalActReg">
    <w:name w:val="PrincipalAct_Reg"/>
    <w:pPr>
      <w:spacing w:after="480"/>
      <w:jc w:val="center"/>
    </w:pPr>
    <w:rPr>
      <w:sz w:val="24"/>
    </w:rPr>
  </w:style>
  <w:style w:type="paragraph" w:customStyle="1" w:styleId="CentredBaseLine">
    <w:name w:val="CentredBaseLine"/>
    <w:pPr>
      <w:suppressLineNumbers/>
      <w:spacing w:before="240"/>
    </w:pPr>
  </w:style>
  <w:style w:type="paragraph" w:customStyle="1" w:styleId="MadeBy">
    <w:name w:val="MadeBy"/>
    <w:pPr>
      <w:spacing w:before="600"/>
    </w:pPr>
    <w:rPr>
      <w:sz w:val="24"/>
    </w:rPr>
  </w:style>
  <w:style w:type="paragraph" w:customStyle="1" w:styleId="ParlHouse">
    <w:name w:val="ParlHouse"/>
    <w:basedOn w:val="WA"/>
    <w:pPr>
      <w:spacing w:after="300"/>
    </w:pPr>
    <w:rPr>
      <w:u w:val="single"/>
    </w:rPr>
  </w:style>
  <w:style w:type="paragraph" w:customStyle="1" w:styleId="Equation">
    <w:name w:val="Equation"/>
    <w:rPr>
      <w:noProof/>
      <w:sz w:val="24"/>
    </w:rPr>
  </w:style>
  <w:style w:type="paragraph" w:customStyle="1" w:styleId="DraftNo">
    <w:name w:val="DraftNo"/>
    <w:basedOn w:val="WA"/>
    <w:pPr>
      <w:spacing w:before="120" w:after="120"/>
    </w:pPr>
  </w:style>
  <w:style w:type="paragraph" w:customStyle="1" w:styleId="Graphics">
    <w:name w:val="Graphics"/>
    <w:basedOn w:val="Equation"/>
  </w:style>
  <w:style w:type="paragraph" w:customStyle="1" w:styleId="zyScheduleHeading">
    <w:name w:val="zyScheduleHeading"/>
    <w:basedOn w:val="yScheduleHeading"/>
    <w:pPr>
      <w:pageBreakBefore w:val="0"/>
      <w:outlineLvl w:val="9"/>
    </w:pPr>
    <w:rPr>
      <w:sz w:val="26"/>
    </w:rPr>
  </w:style>
  <w:style w:type="paragraph" w:customStyle="1" w:styleId="zyShoulderClause">
    <w:name w:val="zyShoulderClause"/>
    <w:basedOn w:val="yShoulderClause"/>
  </w:style>
  <w:style w:type="character" w:customStyle="1" w:styleId="DraftersNotes">
    <w:name w:val="DraftersNotes"/>
    <w:basedOn w:val="DefaultParagraphFont"/>
    <w:rPr>
      <w:b/>
      <w:i/>
      <w:sz w:val="20"/>
    </w:rPr>
  </w:style>
  <w:style w:type="paragraph" w:customStyle="1" w:styleId="ByCommand">
    <w:name w:val="ByCommand"/>
    <w:basedOn w:val="Normal"/>
    <w:pPr>
      <w:tabs>
        <w:tab w:val="left" w:pos="4536"/>
      </w:tabs>
      <w:spacing w:before="240"/>
    </w:pPr>
  </w:style>
  <w:style w:type="character" w:customStyle="1" w:styleId="CharDefText">
    <w:name w:val="CharDefText"/>
    <w:basedOn w:val="DefaultParagraphFont"/>
    <w:rPr>
      <w:b/>
      <w:i/>
    </w:rPr>
  </w:style>
  <w:style w:type="paragraph" w:styleId="Header">
    <w:name w:val="header"/>
    <w:rPr>
      <w:rFonts w:ascii="Arial" w:hAnsi="Arial"/>
      <w:noProof/>
    </w:rPr>
  </w:style>
  <w:style w:type="character" w:customStyle="1" w:styleId="CharSchText">
    <w:name w:val="CharSchText"/>
    <w:rPr>
      <w:noProof w:val="0"/>
    </w:rPr>
  </w:style>
  <w:style w:type="paragraph" w:customStyle="1" w:styleId="DefinedTerms">
    <w:name w:val="Defined Terms"/>
    <w:pPr>
      <w:tabs>
        <w:tab w:val="right" w:leader="dot" w:pos="7070"/>
      </w:tabs>
      <w:ind w:left="578" w:right="578"/>
    </w:pPr>
  </w:style>
  <w:style w:type="paragraph" w:customStyle="1" w:styleId="zLongTitle">
    <w:name w:val="zLong Title"/>
    <w:basedOn w:val="LongTitle"/>
    <w:pPr>
      <w:ind w:left="567" w:right="284"/>
    </w:pPr>
  </w:style>
  <w:style w:type="paragraph" w:customStyle="1" w:styleId="zytable">
    <w:name w:val="zytable"/>
    <w:basedOn w:val="yTable"/>
    <w:pPr>
      <w:ind w:left="567" w:right="284"/>
    </w:pPr>
  </w:style>
  <w:style w:type="paragraph" w:customStyle="1" w:styleId="yMiscellaneousBody">
    <w:name w:val="yMiscellaneous Body"/>
    <w:basedOn w:val="MiscellaneousBody"/>
    <w:pPr>
      <w:spacing w:line="240" w:lineRule="auto"/>
    </w:pPr>
    <w:rPr>
      <w:sz w:val="22"/>
    </w:rPr>
  </w:style>
  <w:style w:type="paragraph" w:customStyle="1" w:styleId="yMiscellaneousFootnotes">
    <w:name w:val="yMiscellaneous Footnotes"/>
    <w:basedOn w:val="MiscellaneousFootnotes"/>
    <w:pPr>
      <w:spacing w:line="240" w:lineRule="auto"/>
    </w:pPr>
    <w:rPr>
      <w:sz w:val="22"/>
    </w:rPr>
  </w:style>
  <w:style w:type="paragraph" w:customStyle="1" w:styleId="yMiscellaneousHeading">
    <w:name w:val="yMiscellaneous Heading"/>
    <w:basedOn w:val="MiscellaneousHeading"/>
    <w:pPr>
      <w:spacing w:line="240" w:lineRule="auto"/>
    </w:pPr>
    <w:rPr>
      <w:sz w:val="22"/>
    </w:rPr>
  </w:style>
  <w:style w:type="paragraph" w:customStyle="1" w:styleId="zTablet">
    <w:name w:val="zTable t"/>
    <w:basedOn w:val="Table"/>
  </w:style>
  <w:style w:type="paragraph" w:customStyle="1" w:styleId="zyMiscellaneousBody">
    <w:name w:val="zyMiscellaneous Body"/>
    <w:basedOn w:val="zMiscellaneousBody"/>
    <w:pPr>
      <w:spacing w:line="240" w:lineRule="auto"/>
    </w:pPr>
    <w:rPr>
      <w:sz w:val="22"/>
    </w:rPr>
  </w:style>
  <w:style w:type="paragraph" w:customStyle="1" w:styleId="zyMiscellaneousHeading">
    <w:name w:val="zyMiscellaneous Heading"/>
    <w:basedOn w:val="zMiscellaneousHeading"/>
    <w:pPr>
      <w:spacing w:line="240" w:lineRule="auto"/>
    </w:pPr>
    <w:rPr>
      <w:sz w:val="22"/>
    </w:rPr>
  </w:style>
  <w:style w:type="paragraph" w:customStyle="1" w:styleId="SignatureText">
    <w:name w:val="SignatureText"/>
    <w:basedOn w:val="Normal"/>
  </w:style>
  <w:style w:type="paragraph" w:customStyle="1" w:styleId="OmitFootnote">
    <w:name w:val="OmitFootnote"/>
    <w:basedOn w:val="Normal"/>
    <w:pPr>
      <w:tabs>
        <w:tab w:val="left" w:pos="893"/>
      </w:tabs>
      <w:spacing w:before="600"/>
      <w:ind w:left="890" w:hanging="890"/>
      <w:outlineLvl w:val="1"/>
    </w:pPr>
    <w:rPr>
      <w:i/>
      <w:snapToGrid w:val="0"/>
      <w:sz w:val="22"/>
    </w:rPr>
  </w:style>
  <w:style w:type="paragraph" w:customStyle="1" w:styleId="yNumberedItem">
    <w:name w:val="yNumberedItem"/>
    <w:pPr>
      <w:spacing w:before="120"/>
      <w:ind w:left="879" w:hanging="879"/>
    </w:pPr>
    <w:rPr>
      <w:sz w:val="22"/>
    </w:rPr>
  </w:style>
  <w:style w:type="paragraph" w:customStyle="1" w:styleId="zyNumberedItem">
    <w:name w:val="zyNumberedItem"/>
    <w:pPr>
      <w:spacing w:before="120"/>
      <w:ind w:left="1446" w:right="284" w:hanging="879"/>
    </w:pPr>
    <w:rPr>
      <w:sz w:val="22"/>
    </w:rPr>
  </w:style>
  <w:style w:type="paragraph" w:customStyle="1" w:styleId="yScheduleHeading2">
    <w:name w:val="yScheduleHeading 2"/>
    <w:basedOn w:val="yScheduleHeading"/>
    <w:pPr>
      <w:pageBreakBefore w:val="0"/>
      <w:spacing w:before="240"/>
    </w:pPr>
  </w:style>
  <w:style w:type="paragraph" w:customStyle="1" w:styleId="TableAm">
    <w:name w:val="TableAm"/>
    <w:qFormat/>
    <w:pPr>
      <w:tabs>
        <w:tab w:val="left" w:pos="567"/>
      </w:tabs>
      <w:spacing w:before="120"/>
    </w:pPr>
    <w:rPr>
      <w:sz w:val="24"/>
    </w:rPr>
  </w:style>
  <w:style w:type="paragraph" w:customStyle="1" w:styleId="TableAmNote">
    <w:name w:val="TableAmNote"/>
    <w:pPr>
      <w:tabs>
        <w:tab w:val="left" w:pos="567"/>
      </w:tabs>
      <w:spacing w:before="60"/>
    </w:pPr>
    <w:rPr>
      <w:rFonts w:ascii="Arial" w:hAnsi="Arial"/>
      <w:sz w:val="18"/>
    </w:rPr>
  </w:style>
  <w:style w:type="paragraph" w:customStyle="1" w:styleId="BlankOpen">
    <w:name w:val="BlankOpen"/>
    <w:basedOn w:val="Normal"/>
    <w:pPr>
      <w:keepNext/>
      <w:keepLines/>
      <w:jc w:val="center"/>
    </w:pPr>
    <w:rPr>
      <w:szCs w:val="24"/>
    </w:rPr>
  </w:style>
  <w:style w:type="paragraph" w:customStyle="1" w:styleId="BlankClose">
    <w:name w:val="BlankClose"/>
    <w:basedOn w:val="Normal"/>
    <w:pPr>
      <w:keepLines/>
      <w:jc w:val="center"/>
    </w:pPr>
    <w:rPr>
      <w:szCs w:val="24"/>
    </w:rPr>
  </w:style>
  <w:style w:type="character" w:customStyle="1" w:styleId="CharSClsNo">
    <w:name w:val="CharSClsNo"/>
    <w:basedOn w:val="DefaultParagraphFont"/>
    <w:rPr>
      <w:sz w:val="22"/>
    </w:rPr>
  </w:style>
  <w:style w:type="character" w:customStyle="1" w:styleId="CharSDivNo">
    <w:name w:val="CharSDivNo"/>
    <w:basedOn w:val="DefaultParagraphFont"/>
    <w:rPr>
      <w:sz w:val="24"/>
    </w:rPr>
  </w:style>
  <w:style w:type="character" w:customStyle="1" w:styleId="CharSDivText">
    <w:name w:val="CharSDivText"/>
    <w:basedOn w:val="DefaultParagraphFont"/>
    <w:rPr>
      <w:sz w:val="24"/>
    </w:rPr>
  </w:style>
  <w:style w:type="paragraph" w:customStyle="1" w:styleId="LongTitle2">
    <w:name w:val="Long Title2"/>
    <w:basedOn w:val="LongTitle"/>
    <w:pPr>
      <w:tabs>
        <w:tab w:val="right" w:pos="170"/>
        <w:tab w:val="left" w:pos="397"/>
      </w:tabs>
      <w:ind w:left="397" w:hanging="397"/>
    </w:pPr>
  </w:style>
  <w:style w:type="paragraph" w:customStyle="1" w:styleId="LongTitle3">
    <w:name w:val="Long Title3"/>
    <w:basedOn w:val="LongTitle"/>
    <w:pPr>
      <w:tabs>
        <w:tab w:val="right" w:pos="567"/>
        <w:tab w:val="left" w:pos="794"/>
      </w:tabs>
      <w:ind w:left="794" w:hanging="794"/>
    </w:pPr>
  </w:style>
  <w:style w:type="paragraph" w:customStyle="1" w:styleId="Preamble2">
    <w:name w:val="Preamble2"/>
    <w:basedOn w:val="Preamble"/>
    <w:pPr>
      <w:tabs>
        <w:tab w:val="clear" w:pos="567"/>
      </w:tabs>
      <w:spacing w:before="80"/>
      <w:ind w:left="0" w:firstLine="0"/>
    </w:pPr>
  </w:style>
  <w:style w:type="paragraph" w:customStyle="1" w:styleId="Preamble1">
    <w:name w:val="Preamble1"/>
    <w:basedOn w:val="Preamble2"/>
    <w:pPr>
      <w:spacing w:before="120"/>
    </w:pPr>
    <w:rPr>
      <w:b/>
    </w:rPr>
  </w:style>
  <w:style w:type="paragraph" w:customStyle="1" w:styleId="Preamble3">
    <w:name w:val="Preamble3"/>
    <w:basedOn w:val="Preamble2"/>
    <w:pPr>
      <w:tabs>
        <w:tab w:val="right" w:pos="595"/>
        <w:tab w:val="left" w:pos="879"/>
      </w:tabs>
      <w:ind w:left="879" w:hanging="879"/>
    </w:pPr>
  </w:style>
  <w:style w:type="paragraph" w:customStyle="1" w:styleId="Preamble4">
    <w:name w:val="Preamble4"/>
    <w:basedOn w:val="Preamble2"/>
    <w:pPr>
      <w:tabs>
        <w:tab w:val="right" w:pos="1332"/>
        <w:tab w:val="left" w:pos="1616"/>
      </w:tabs>
      <w:ind w:left="1616" w:hanging="1616"/>
    </w:pPr>
  </w:style>
  <w:style w:type="paragraph" w:customStyle="1" w:styleId="Footnotelongtitle">
    <w:name w:val="Footnote(longtitle)"/>
    <w:basedOn w:val="Footnotesection"/>
  </w:style>
  <w:style w:type="paragraph" w:customStyle="1" w:styleId="Footnotepreamble">
    <w:name w:val="Footnote(preamble)"/>
    <w:basedOn w:val="Footnotesection"/>
  </w:style>
  <w:style w:type="paragraph" w:customStyle="1" w:styleId="DeleteClose">
    <w:name w:val="DeleteClose"/>
    <w:basedOn w:val="Normal"/>
    <w:pPr>
      <w:keepLines/>
      <w:jc w:val="center"/>
    </w:pPr>
    <w:rPr>
      <w:szCs w:val="24"/>
    </w:rPr>
  </w:style>
  <w:style w:type="paragraph" w:customStyle="1" w:styleId="DeleteListSub">
    <w:name w:val="DeleteListSub"/>
    <w:basedOn w:val="Normal"/>
    <w:pPr>
      <w:widowControl w:val="0"/>
      <w:spacing w:before="80" w:line="260" w:lineRule="atLeast"/>
      <w:ind w:left="879"/>
    </w:pPr>
  </w:style>
  <w:style w:type="paragraph" w:customStyle="1" w:styleId="DeleteListPara">
    <w:name w:val="DeleteListPara"/>
    <w:basedOn w:val="DeleteListSub"/>
    <w:pPr>
      <w:ind w:left="1616"/>
    </w:pPr>
  </w:style>
  <w:style w:type="paragraph" w:customStyle="1" w:styleId="DeleteOpen">
    <w:name w:val="DeleteOpen"/>
    <w:basedOn w:val="Normal"/>
    <w:pPr>
      <w:keepNext/>
      <w:keepLines/>
      <w:jc w:val="center"/>
    </w:pPr>
    <w:rPr>
      <w:szCs w:val="24"/>
    </w:rPr>
  </w:style>
  <w:style w:type="paragraph" w:customStyle="1" w:styleId="yDeleteListPara">
    <w:name w:val="yDeleteListPara"/>
    <w:basedOn w:val="DeleteListPara"/>
    <w:rPr>
      <w:sz w:val="22"/>
    </w:rPr>
  </w:style>
  <w:style w:type="paragraph" w:customStyle="1" w:styleId="yDeleteListSub">
    <w:name w:val="yDeleteListSub"/>
    <w:basedOn w:val="DeleteListSub"/>
    <w:rPr>
      <w:sz w:val="22"/>
    </w:rPr>
  </w:style>
  <w:style w:type="paragraph" w:customStyle="1" w:styleId="zDeleteListPara">
    <w:name w:val="zDeleteListPara"/>
    <w:basedOn w:val="DeleteListPara"/>
    <w:pPr>
      <w:ind w:left="2183"/>
    </w:pPr>
  </w:style>
  <w:style w:type="paragraph" w:customStyle="1" w:styleId="zDeleteListSub">
    <w:name w:val="zDeleteListSub"/>
    <w:basedOn w:val="DeleteListSub"/>
    <w:pPr>
      <w:ind w:left="1446"/>
    </w:pPr>
  </w:style>
  <w:style w:type="paragraph" w:customStyle="1" w:styleId="zyDeleteListPara">
    <w:name w:val="zyDeleteListPara"/>
    <w:basedOn w:val="DeleteListPara"/>
    <w:rPr>
      <w:sz w:val="22"/>
    </w:rPr>
  </w:style>
  <w:style w:type="paragraph" w:customStyle="1" w:styleId="zyDeleteListSub">
    <w:name w:val="zyDeleteListSub"/>
    <w:basedOn w:val="DeleteListSub"/>
    <w:rPr>
      <w:sz w:val="22"/>
    </w:rPr>
  </w:style>
  <w:style w:type="paragraph" w:customStyle="1" w:styleId="TableNAm">
    <w:name w:val="TableNAm"/>
    <w:qFormat/>
    <w:pPr>
      <w:tabs>
        <w:tab w:val="left" w:pos="567"/>
      </w:tabs>
      <w:spacing w:before="120"/>
    </w:pPr>
    <w:rPr>
      <w:sz w:val="24"/>
    </w:rPr>
  </w:style>
  <w:style w:type="paragraph" w:customStyle="1" w:styleId="THeading">
    <w:name w:val="THeading"/>
    <w:pPr>
      <w:keepNext/>
      <w:spacing w:before="160" w:after="60" w:line="260" w:lineRule="atLeast"/>
      <w:jc w:val="center"/>
    </w:pPr>
    <w:rPr>
      <w:b/>
      <w:bCs/>
      <w:sz w:val="24"/>
    </w:rPr>
  </w:style>
  <w:style w:type="paragraph" w:customStyle="1" w:styleId="THeadingAmNote">
    <w:name w:val="THeadingAmNote"/>
    <w:pPr>
      <w:keepNext/>
      <w:spacing w:before="160" w:after="60"/>
      <w:jc w:val="center"/>
    </w:pPr>
    <w:rPr>
      <w:rFonts w:ascii="Arial" w:hAnsi="Arial"/>
      <w:b/>
      <w:bCs/>
      <w:sz w:val="18"/>
    </w:rPr>
  </w:style>
  <w:style w:type="paragraph" w:customStyle="1" w:styleId="THeadingNAm">
    <w:name w:val="THeadingNAm"/>
    <w:pPr>
      <w:keepNext/>
      <w:spacing w:before="160" w:after="60" w:line="260" w:lineRule="atLeast"/>
      <w:ind w:left="879" w:right="142"/>
      <w:jc w:val="center"/>
    </w:pPr>
    <w:rPr>
      <w:b/>
      <w:bCs/>
      <w:sz w:val="24"/>
    </w:rPr>
  </w:style>
  <w:style w:type="paragraph" w:customStyle="1" w:styleId="yTableNAm">
    <w:name w:val="yTableNAm"/>
    <w:basedOn w:val="TableNAm"/>
    <w:rPr>
      <w:sz w:val="22"/>
    </w:rPr>
  </w:style>
  <w:style w:type="paragraph" w:customStyle="1" w:styleId="yTHeadingNAm">
    <w:name w:val="yTHeadingNAm"/>
    <w:basedOn w:val="THeadingNAm"/>
    <w:pPr>
      <w:ind w:left="142"/>
    </w:pPr>
    <w:rPr>
      <w:sz w:val="22"/>
    </w:rPr>
  </w:style>
  <w:style w:type="paragraph" w:customStyle="1" w:styleId="zTableNAm">
    <w:name w:val="zTableNAm"/>
    <w:basedOn w:val="TableNAm"/>
  </w:style>
  <w:style w:type="paragraph" w:customStyle="1" w:styleId="zTHeadingNAm">
    <w:name w:val="zTHeadingNAm"/>
    <w:basedOn w:val="THeadingNAm"/>
  </w:style>
  <w:style w:type="paragraph" w:customStyle="1" w:styleId="zyTableNAm">
    <w:name w:val="zyTableNAm"/>
    <w:basedOn w:val="yTableNAm"/>
  </w:style>
  <w:style w:type="paragraph" w:customStyle="1" w:styleId="zyTHeadingNAm">
    <w:name w:val="zyTHeadingNAm"/>
    <w:basedOn w:val="yTHeadingNAm"/>
  </w:style>
  <w:style w:type="paragraph" w:customStyle="1" w:styleId="Ednotepart">
    <w:name w:val="Ednote(part)"/>
    <w:basedOn w:val="Ednotesection"/>
    <w:pPr>
      <w:tabs>
        <w:tab w:val="clear" w:pos="893"/>
      </w:tabs>
      <w:ind w:left="0" w:firstLine="0"/>
    </w:pPr>
  </w:style>
  <w:style w:type="paragraph" w:customStyle="1" w:styleId="Ednotedivision">
    <w:name w:val="Ednote(division)"/>
    <w:basedOn w:val="Ednotepart"/>
  </w:style>
  <w:style w:type="paragraph" w:customStyle="1" w:styleId="Ednotesubdivision">
    <w:name w:val="Ednote(subdivision)"/>
    <w:basedOn w:val="Ednotepart"/>
  </w:style>
  <w:style w:type="paragraph" w:customStyle="1" w:styleId="yEdnotedefitem">
    <w:name w:val="yEdnote(defitem)"/>
    <w:basedOn w:val="yDefitem"/>
    <w:rPr>
      <w:i/>
    </w:rPr>
  </w:style>
  <w:style w:type="paragraph" w:customStyle="1" w:styleId="yEdnotedefpara">
    <w:name w:val="yEdnote(defpara)"/>
    <w:basedOn w:val="yDefpara"/>
    <w:rPr>
      <w:i/>
    </w:rPr>
  </w:style>
  <w:style w:type="paragraph" w:customStyle="1" w:styleId="yEdnotedefsubpara">
    <w:name w:val="yEdnote(defsubpara)"/>
    <w:basedOn w:val="yDefsubpara"/>
    <w:rPr>
      <w:i/>
    </w:rPr>
  </w:style>
  <w:style w:type="paragraph" w:customStyle="1" w:styleId="yEdnoteschedule">
    <w:name w:val="yEdnote(schedule)"/>
    <w:basedOn w:val="yEdnotesection"/>
    <w:pPr>
      <w:tabs>
        <w:tab w:val="clear" w:pos="893"/>
      </w:tabs>
      <w:ind w:left="0" w:firstLine="0"/>
    </w:pPr>
  </w:style>
  <w:style w:type="paragraph" w:customStyle="1" w:styleId="yEdnotedivision">
    <w:name w:val="yEdnote(division)"/>
    <w:basedOn w:val="yEdnoteschedule"/>
  </w:style>
  <w:style w:type="paragraph" w:customStyle="1" w:styleId="yEdnotesubdivision">
    <w:name w:val="yEdnote(subdivision)"/>
    <w:basedOn w:val="yEdnoteschedule"/>
  </w:style>
  <w:style w:type="paragraph" w:customStyle="1" w:styleId="yEdnotesubsection">
    <w:name w:val="yEdnote(subsection)"/>
    <w:basedOn w:val="Ednotesubsection"/>
    <w:rPr>
      <w:sz w:val="22"/>
    </w:rPr>
  </w:style>
  <w:style w:type="paragraph" w:customStyle="1" w:styleId="PrincipalActRegPage1">
    <w:name w:val="PrincipalAct_Reg(Page 1)"/>
    <w:pPr>
      <w:spacing w:before="2600"/>
      <w:jc w:val="center"/>
    </w:pPr>
    <w:rPr>
      <w:sz w:val="24"/>
    </w:rPr>
  </w:style>
  <w:style w:type="paragraph" w:customStyle="1" w:styleId="Defsubitem">
    <w:name w:val="Defsubitem"/>
    <w:qFormat/>
    <w:pPr>
      <w:tabs>
        <w:tab w:val="right" w:pos="3686"/>
      </w:tabs>
      <w:spacing w:before="80" w:line="260" w:lineRule="atLeast"/>
      <w:ind w:left="3969" w:hanging="3969"/>
    </w:pPr>
    <w:rPr>
      <w:snapToGrid w:val="0"/>
      <w:sz w:val="24"/>
    </w:rPr>
  </w:style>
  <w:style w:type="paragraph" w:customStyle="1" w:styleId="Ednotedefsubitem">
    <w:name w:val="Ednote(defsubitem)"/>
    <w:basedOn w:val="Defsubitem"/>
    <w:rPr>
      <w:i/>
    </w:rPr>
  </w:style>
  <w:style w:type="paragraph" w:customStyle="1" w:styleId="yDefsubitem">
    <w:name w:val="yDefsubitem"/>
    <w:qFormat/>
    <w:pPr>
      <w:tabs>
        <w:tab w:val="right" w:pos="3686"/>
      </w:tabs>
      <w:spacing w:before="80"/>
      <w:ind w:left="3969" w:hanging="3969"/>
    </w:pPr>
    <w:rPr>
      <w:snapToGrid w:val="0"/>
      <w:sz w:val="22"/>
    </w:rPr>
  </w:style>
  <w:style w:type="paragraph" w:customStyle="1" w:styleId="yEdnotedefsubitem">
    <w:name w:val="yEdnote(defsubitem)"/>
    <w:basedOn w:val="yDefsubitem"/>
    <w:rPr>
      <w:i/>
    </w:rPr>
  </w:style>
  <w:style w:type="paragraph" w:customStyle="1" w:styleId="zDefsubitem">
    <w:name w:val="zDefsubitem"/>
    <w:qFormat/>
    <w:pPr>
      <w:tabs>
        <w:tab w:val="right" w:pos="4167"/>
      </w:tabs>
      <w:spacing w:before="80" w:line="260" w:lineRule="atLeast"/>
      <w:ind w:left="4451" w:right="284" w:hanging="3884"/>
    </w:pPr>
    <w:rPr>
      <w:snapToGrid w:val="0"/>
      <w:sz w:val="24"/>
    </w:rPr>
  </w:style>
  <w:style w:type="paragraph" w:customStyle="1" w:styleId="zyDefsubitem">
    <w:name w:val="zyDefsubitem"/>
    <w:qFormat/>
    <w:pPr>
      <w:tabs>
        <w:tab w:val="right" w:pos="4167"/>
      </w:tabs>
      <w:spacing w:before="80"/>
      <w:ind w:left="4451" w:right="284" w:hanging="3884"/>
    </w:pPr>
    <w:rPr>
      <w:snapToGrid w:val="0"/>
      <w:sz w:val="22"/>
    </w:rPr>
  </w:style>
  <w:style w:type="paragraph" w:customStyle="1" w:styleId="yEdnotenumbereditem">
    <w:name w:val="yEdnote(numbereditem)"/>
    <w:basedOn w:val="yNumberedItem"/>
    <w:rPr>
      <w:i/>
    </w:rPr>
  </w:style>
  <w:style w:type="paragraph" w:customStyle="1" w:styleId="yNumberedItemPara">
    <w:name w:val="yNumberedItemPara"/>
    <w:qFormat/>
    <w:pPr>
      <w:tabs>
        <w:tab w:val="right" w:pos="1332"/>
      </w:tabs>
      <w:spacing w:before="80"/>
      <w:ind w:left="1616" w:hanging="1616"/>
    </w:pPr>
    <w:rPr>
      <w:sz w:val="22"/>
    </w:rPr>
  </w:style>
  <w:style w:type="paragraph" w:customStyle="1" w:styleId="yEdnotenumbereditempara">
    <w:name w:val="yEdnote(numbereditempara)"/>
    <w:basedOn w:val="yNumberedItemPara"/>
    <w:rPr>
      <w:i/>
    </w:rPr>
  </w:style>
  <w:style w:type="paragraph" w:customStyle="1" w:styleId="zyNumberedItemPara">
    <w:name w:val="zyNumberedItemPara"/>
    <w:qFormat/>
    <w:pPr>
      <w:tabs>
        <w:tab w:val="right" w:pos="1899"/>
      </w:tabs>
      <w:spacing w:before="80"/>
      <w:ind w:left="2183" w:right="284" w:hanging="1616"/>
    </w:pPr>
    <w:rPr>
      <w:sz w:val="22"/>
    </w:rPr>
  </w:style>
  <w:style w:type="paragraph" w:customStyle="1" w:styleId="yNumberedItemSubPara">
    <w:name w:val="yNumberedItemSubPara"/>
    <w:qFormat/>
    <w:pPr>
      <w:tabs>
        <w:tab w:val="right" w:pos="2041"/>
      </w:tabs>
      <w:spacing w:before="80"/>
      <w:ind w:left="2325" w:hanging="2325"/>
    </w:pPr>
    <w:rPr>
      <w:sz w:val="22"/>
    </w:rPr>
  </w:style>
  <w:style w:type="paragraph" w:customStyle="1" w:styleId="yEdnotenumbereditemsubpara">
    <w:name w:val="yEdnote(numbereditemsubpara)"/>
    <w:basedOn w:val="yNumberedItemSubPara"/>
    <w:rPr>
      <w:i/>
    </w:rPr>
  </w:style>
  <w:style w:type="paragraph" w:customStyle="1" w:styleId="zyNumberedItemSubPara">
    <w:name w:val="zyNumberedItemSubPara"/>
    <w:qFormat/>
    <w:pPr>
      <w:tabs>
        <w:tab w:val="right" w:pos="2608"/>
      </w:tabs>
      <w:spacing w:before="80"/>
      <w:ind w:left="2892" w:right="284" w:hanging="2325"/>
    </w:pPr>
    <w:rPr>
      <w:sz w:val="22"/>
    </w:rPr>
  </w:style>
  <w:style w:type="paragraph" w:customStyle="1" w:styleId="PermNoteHeading">
    <w:name w:val="PermNoteHeading"/>
    <w:qFormat/>
    <w:pPr>
      <w:keepNext/>
      <w:spacing w:before="160"/>
      <w:ind w:left="879" w:hanging="879"/>
    </w:pPr>
    <w:rPr>
      <w:rFonts w:ascii="Arial" w:hAnsi="Arial"/>
      <w:sz w:val="18"/>
    </w:rPr>
  </w:style>
  <w:style w:type="paragraph" w:customStyle="1" w:styleId="Ednotepermnoteheading">
    <w:name w:val="Ednote(permnoteheading)"/>
    <w:basedOn w:val="PermNoteHeading"/>
    <w:rPr>
      <w:i/>
    </w:rPr>
  </w:style>
  <w:style w:type="paragraph" w:customStyle="1" w:styleId="zPermNoteHeading">
    <w:name w:val="zPermNoteHeading"/>
    <w:qFormat/>
    <w:pPr>
      <w:spacing w:before="160"/>
      <w:ind w:left="1446" w:right="284" w:hanging="879"/>
    </w:pPr>
    <w:rPr>
      <w:rFonts w:ascii="Arial" w:hAnsi="Arial"/>
      <w:sz w:val="18"/>
    </w:rPr>
  </w:style>
  <w:style w:type="paragraph" w:customStyle="1" w:styleId="PermNoteText">
    <w:name w:val="PermNoteText"/>
    <w:qFormat/>
    <w:pPr>
      <w:tabs>
        <w:tab w:val="left" w:pos="879"/>
      </w:tabs>
      <w:spacing w:before="80"/>
      <w:ind w:left="1418" w:hanging="1418"/>
    </w:pPr>
    <w:rPr>
      <w:rFonts w:ascii="Arial" w:hAnsi="Arial"/>
      <w:sz w:val="18"/>
    </w:rPr>
  </w:style>
  <w:style w:type="paragraph" w:customStyle="1" w:styleId="Ednotepermnotetext">
    <w:name w:val="Ednote(permnotetext)"/>
    <w:basedOn w:val="PermNoteText"/>
    <w:rPr>
      <w:i/>
    </w:rPr>
  </w:style>
  <w:style w:type="paragraph" w:customStyle="1" w:styleId="zPermNoteText">
    <w:name w:val="zPermNoteText"/>
    <w:qFormat/>
    <w:pPr>
      <w:tabs>
        <w:tab w:val="left" w:pos="1446"/>
      </w:tabs>
      <w:spacing w:before="80"/>
      <w:ind w:left="2013" w:right="284" w:hanging="1446"/>
    </w:pPr>
    <w:rPr>
      <w:rFonts w:ascii="Arial" w:hAnsi="Arial"/>
      <w:sz w:val="18"/>
    </w:rPr>
  </w:style>
  <w:style w:type="paragraph" w:customStyle="1" w:styleId="PermNotePara">
    <w:name w:val="PermNotePara"/>
    <w:qFormat/>
    <w:pPr>
      <w:tabs>
        <w:tab w:val="right" w:pos="1843"/>
      </w:tabs>
      <w:spacing w:before="80"/>
      <w:ind w:left="2013" w:hanging="2013"/>
    </w:pPr>
    <w:rPr>
      <w:rFonts w:ascii="Arial" w:hAnsi="Arial"/>
      <w:sz w:val="18"/>
    </w:rPr>
  </w:style>
  <w:style w:type="paragraph" w:customStyle="1" w:styleId="Ednotepermnotepara">
    <w:name w:val="Ednote(permnotepara)"/>
    <w:basedOn w:val="PermNotePara"/>
    <w:rPr>
      <w:i/>
    </w:rPr>
  </w:style>
  <w:style w:type="paragraph" w:customStyle="1" w:styleId="zPermNotePara">
    <w:name w:val="zPermNotePara"/>
    <w:qFormat/>
    <w:pPr>
      <w:tabs>
        <w:tab w:val="right" w:pos="2410"/>
      </w:tabs>
      <w:spacing w:before="80"/>
      <w:ind w:left="2580" w:right="284" w:hanging="2013"/>
    </w:pPr>
    <w:rPr>
      <w:rFonts w:ascii="Arial" w:hAnsi="Arial"/>
      <w:sz w:val="18"/>
    </w:rPr>
  </w:style>
  <w:style w:type="paragraph" w:customStyle="1" w:styleId="PermNoteSubPara">
    <w:name w:val="PermNoteSubPara"/>
    <w:qFormat/>
    <w:pPr>
      <w:tabs>
        <w:tab w:val="right" w:pos="2296"/>
      </w:tabs>
      <w:spacing w:before="80"/>
      <w:ind w:left="2580" w:hanging="2580"/>
    </w:pPr>
    <w:rPr>
      <w:rFonts w:ascii="Arial" w:hAnsi="Arial"/>
      <w:sz w:val="18"/>
    </w:rPr>
  </w:style>
  <w:style w:type="paragraph" w:customStyle="1" w:styleId="Ednotepermnotesubpara">
    <w:name w:val="Ednote(permnotesubpara)"/>
    <w:basedOn w:val="PermNoteSubPara"/>
    <w:rPr>
      <w:i/>
    </w:rPr>
  </w:style>
  <w:style w:type="paragraph" w:customStyle="1" w:styleId="zPermNoteSubPara">
    <w:name w:val="zPermNoteSubPara"/>
    <w:qFormat/>
    <w:pPr>
      <w:tabs>
        <w:tab w:val="right" w:pos="2863"/>
      </w:tabs>
      <w:spacing w:before="80"/>
      <w:ind w:left="3147" w:right="284" w:hanging="2580"/>
    </w:pPr>
    <w:rPr>
      <w:rFonts w:ascii="Arial" w:hAnsi="Arial"/>
      <w:sz w:val="18"/>
    </w:rPr>
  </w:style>
  <w:style w:type="paragraph" w:customStyle="1" w:styleId="SectAltNote">
    <w:name w:val="SectAltNote"/>
    <w:qFormat/>
    <w:pPr>
      <w:keepNext/>
      <w:tabs>
        <w:tab w:val="left" w:pos="879"/>
      </w:tabs>
      <w:spacing w:before="160"/>
      <w:ind w:left="1418" w:hanging="1418"/>
    </w:pPr>
    <w:rPr>
      <w:rFonts w:ascii="Arial" w:hAnsi="Arial"/>
      <w:sz w:val="18"/>
    </w:rPr>
  </w:style>
  <w:style w:type="paragraph" w:customStyle="1" w:styleId="SectAltHeading">
    <w:name w:val="SectAltHeading"/>
    <w:qFormat/>
    <w:pPr>
      <w:tabs>
        <w:tab w:val="left" w:pos="879"/>
      </w:tabs>
      <w:spacing w:before="80"/>
      <w:ind w:left="1418" w:hanging="1418"/>
    </w:pPr>
    <w:rPr>
      <w:rFonts w:ascii="Arial" w:hAnsi="Arial"/>
      <w:b/>
      <w:sz w:val="18"/>
    </w:rPr>
  </w:style>
  <w:style w:type="paragraph" w:customStyle="1" w:styleId="ExCo">
    <w:name w:val="ExCo"/>
    <w:qFormat/>
    <w:rPr>
      <w:sz w:val="24"/>
    </w:rPr>
  </w:style>
  <w:style w:type="paragraph" w:customStyle="1" w:styleId="TitleNote">
    <w:name w:val="TitleNote"/>
    <w:rPr>
      <w:sz w:val="24"/>
    </w:rPr>
  </w:style>
  <w:style w:type="paragraph" w:customStyle="1" w:styleId="nStatement">
    <w:name w:val="nStatement"/>
    <w:pPr>
      <w:spacing w:before="80"/>
    </w:pPr>
  </w:style>
  <w:style w:type="paragraph" w:customStyle="1" w:styleId="nNote">
    <w:name w:val="nNote"/>
    <w:pPr>
      <w:spacing w:before="80"/>
      <w:ind w:left="454" w:hanging="454"/>
    </w:pPr>
  </w:style>
  <w:style w:type="paragraph" w:customStyle="1" w:styleId="nNotePara">
    <w:name w:val="nNotePara"/>
    <w:pPr>
      <w:tabs>
        <w:tab w:val="right" w:pos="993"/>
      </w:tabs>
      <w:spacing w:before="40"/>
      <w:ind w:left="1134" w:hanging="1134"/>
    </w:pPr>
  </w:style>
  <w:style w:type="paragraph" w:customStyle="1" w:styleId="nNoteSubPara">
    <w:name w:val="nNoteSubPara"/>
    <w:pPr>
      <w:tabs>
        <w:tab w:val="right" w:pos="1418"/>
      </w:tabs>
      <w:spacing w:before="40"/>
      <w:ind w:left="1701" w:hanging="1701"/>
    </w:pPr>
  </w:style>
  <w:style w:type="paragraph" w:customStyle="1" w:styleId="AssentDate">
    <w:name w:val="AssentDate"/>
    <w:pPr>
      <w:jc w:val="right"/>
    </w:pPr>
    <w:rPr>
      <w:sz w:val="24"/>
    </w:rPr>
  </w:style>
  <w:style w:type="character" w:customStyle="1" w:styleId="FooterChar">
    <w:name w:val="Footer Char"/>
    <w:basedOn w:val="DefaultParagraphFont"/>
    <w:link w:val="Foote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3.xml"/><Relationship Id="rId3" Type="http://schemas.openxmlformats.org/officeDocument/2006/relationships/settings" Target="settings.xml"/><Relationship Id="rId21" Type="http://schemas.openxmlformats.org/officeDocument/2006/relationships/header" Target="header8.xm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12.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10.xml"/><Relationship Id="rId28" Type="http://schemas.openxmlformats.org/officeDocument/2006/relationships/header" Target="header15.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footer" Target="footer8.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5362</Words>
  <Characters>26762</Characters>
  <Application>Microsoft Office Word</Application>
  <DocSecurity>0</DocSecurity>
  <Lines>787</Lines>
  <Paragraphs>509</Paragraphs>
  <ScaleCrop>false</ScaleCrop>
  <HeadingPairs>
    <vt:vector size="2" baseType="variant">
      <vt:variant>
        <vt:lpstr>Title</vt:lpstr>
      </vt:variant>
      <vt:variant>
        <vt:i4>1</vt:i4>
      </vt:variant>
    </vt:vector>
  </HeadingPairs>
  <TitlesOfParts>
    <vt:vector size="1" baseType="lpstr">
      <vt:lpstr>WESTERN AUSTRALIA</vt:lpstr>
    </vt:vector>
  </TitlesOfParts>
  <Manager/>
  <Company/>
  <LinksUpToDate>false</LinksUpToDate>
  <CharactersWithSpaces>31615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Camp Regulations - 02-e0-00</dc:title>
  <dc:subject/>
  <dc:creator/>
  <cp:keywords/>
  <dc:description/>
  <cp:lastModifiedBy>Master Repository Process</cp:lastModifiedBy>
  <cp:revision>4</cp:revision>
  <cp:lastPrinted>2003-12-24T03:35:00Z</cp:lastPrinted>
  <dcterms:created xsi:type="dcterms:W3CDTF">2024-05-31T00:48:00Z</dcterms:created>
  <dcterms:modified xsi:type="dcterms:W3CDTF">2024-05-31T00:48:00Z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16 June 1970 p.1668-75</vt:lpwstr>
  </property>
  <property fmtid="{D5CDD505-2E9C-101B-9397-08002B2CF9AE}" pid="3" name="DocumentType">
    <vt:lpwstr>Reg</vt:lpwstr>
  </property>
  <property fmtid="{D5CDD505-2E9C-101B-9397-08002B2CF9AE}" pid="4" name="OwlsUID">
    <vt:i4>4364</vt:i4>
  </property>
  <property fmtid="{D5CDD505-2E9C-101B-9397-08002B2CF9AE}" pid="5" name="AsAtDate">
    <vt:lpwstr>04 Jun 2024</vt:lpwstr>
  </property>
  <property fmtid="{D5CDD505-2E9C-101B-9397-08002B2CF9AE}" pid="6" name="Suffix">
    <vt:lpwstr>02-e0-00</vt:lpwstr>
  </property>
  <property fmtid="{D5CDD505-2E9C-101B-9397-08002B2CF9AE}" pid="7" name="Official">
    <vt:lpwstr/>
  </property>
  <property fmtid="{D5CDD505-2E9C-101B-9397-08002B2CF9AE}" pid="8" name="Status">
    <vt:lpwstr>NIF</vt:lpwstr>
  </property>
  <property fmtid="{D5CDD505-2E9C-101B-9397-08002B2CF9AE}" pid="9" name="CommencementDate">
    <vt:lpwstr>20240604</vt:lpwstr>
  </property>
  <property fmtid="{D5CDD505-2E9C-101B-9397-08002B2CF9AE}" pid="10" name="CommencementAsAt">
    <vt:filetime>2024-06-03T16:00:00Z</vt:filetime>
  </property>
  <property fmtid="{D5CDD505-2E9C-101B-9397-08002B2CF9AE}" pid="11" name="CommencementYear">
    <vt:lpwstr>2024</vt:lpwstr>
  </property>
</Properties>
</file>