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B0AFA079">
      <w:pPr>
        <w:spacing w:line="276"/>
      </w:pPr>
      <w:r>
        <w:rPr>
          <w:color w:val="C00000"/>
        </w:rPr>
        <w:t>Bold Red Text Combo Demo</w:t>
      </w:r>
    </w:p>
    <w:p w14:paraId="E74E3F0D">
      <w:r>
        <w:rPr>
          <w:color w:val="C00000"/>
        </w:rPr>
        <w:t>This document combines bold formatting with red font color.</w:t>
      </w:r>
    </w:p>
    <w:p w14:paraId="9484FAC3">
      <w:r>
        <w:rPr>
          <w:color w:val="C00000"/>
        </w:rPr>
        <w:t>Bold red text is used for critical warnings and alerts.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2026-05-14T17:00:05.386Z</dcterms:created>
  <dcterms:modified xsi:type="dcterms:W3CDTF">2026-05-14T17:00:05.414Z</dcterms:modified>
</cp:coreProperties>
</file>