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6E79A" w14:textId="03FD0412" w:rsidR="00E83C43" w:rsidRDefault="00C05071">
      <w:pPr>
        <w:rPr>
          <w:rFonts w:ascii="Times" w:hAnsi="Times"/>
          <w:b/>
          <w:bCs/>
          <w:sz w:val="22"/>
          <w:szCs w:val="22"/>
        </w:rPr>
      </w:pPr>
      <w:r>
        <w:rPr>
          <w:rFonts w:ascii="Times" w:hAnsi="Times"/>
          <w:b/>
          <w:bCs/>
          <w:sz w:val="22"/>
          <w:szCs w:val="22"/>
        </w:rPr>
        <w:t xml:space="preserve">S1 </w:t>
      </w:r>
      <w:r w:rsidR="008F4890">
        <w:rPr>
          <w:rFonts w:ascii="Times" w:hAnsi="Times"/>
          <w:b/>
          <w:bCs/>
          <w:sz w:val="22"/>
          <w:szCs w:val="22"/>
        </w:rPr>
        <w:t>Analysis Plan</w:t>
      </w:r>
    </w:p>
    <w:p w14:paraId="2C0C7E4D" w14:textId="765619A0" w:rsidR="008F4890" w:rsidRDefault="008F4890">
      <w:pPr>
        <w:rPr>
          <w:rFonts w:ascii="Times" w:hAnsi="Times"/>
          <w:b/>
          <w:bCs/>
          <w:sz w:val="22"/>
          <w:szCs w:val="22"/>
        </w:rPr>
      </w:pPr>
    </w:p>
    <w:p w14:paraId="2F6BDAF4" w14:textId="30CD24D9" w:rsidR="008F4890" w:rsidRDefault="008F4890">
      <w:pPr>
        <w:rPr>
          <w:rFonts w:ascii="Times" w:eastAsia="Times" w:hAnsi="Times" w:cs="Times"/>
          <w:sz w:val="22"/>
          <w:szCs w:val="22"/>
        </w:rPr>
      </w:pPr>
      <w:r>
        <w:rPr>
          <w:rFonts w:ascii="Times" w:hAnsi="Times"/>
          <w:sz w:val="22"/>
          <w:szCs w:val="22"/>
        </w:rPr>
        <w:t xml:space="preserve">The objective of the present study is to examine the implications of anomalously warm weather for individuals living with multiple sclerosis (MS), a chronic demyelinating disease of the central nervous system (CNS). Our analysis leverages extant data from the </w:t>
      </w:r>
      <w:r w:rsidRPr="00E81240">
        <w:rPr>
          <w:rFonts w:ascii="Times" w:eastAsia="Times" w:hAnsi="Times" w:cs="Times"/>
          <w:sz w:val="22"/>
          <w:szCs w:val="22"/>
        </w:rPr>
        <w:t>Optu</w:t>
      </w:r>
      <w:r>
        <w:rPr>
          <w:rFonts w:ascii="Times" w:eastAsia="Times" w:hAnsi="Times" w:cs="Times"/>
          <w:sz w:val="22"/>
          <w:szCs w:val="22"/>
        </w:rPr>
        <w:t>m</w:t>
      </w:r>
      <w:r w:rsidRPr="00E81240">
        <w:rPr>
          <w:rFonts w:ascii="Times" w:eastAsia="Times" w:hAnsi="Times" w:cs="Times"/>
          <w:sz w:val="22"/>
          <w:szCs w:val="22"/>
        </w:rPr>
        <w:t xml:space="preserve"> </w:t>
      </w:r>
      <w:proofErr w:type="spellStart"/>
      <w:r w:rsidRPr="00E81240">
        <w:rPr>
          <w:rFonts w:ascii="Times" w:eastAsia="Times" w:hAnsi="Times" w:cs="Times"/>
          <w:sz w:val="22"/>
          <w:szCs w:val="22"/>
        </w:rPr>
        <w:t>Clinformatics</w:t>
      </w:r>
      <w:proofErr w:type="spellEnd"/>
      <w:r w:rsidRPr="00E81240">
        <w:rPr>
          <w:rFonts w:ascii="Times" w:eastAsia="Times" w:hAnsi="Times" w:cs="Times"/>
          <w:sz w:val="22"/>
          <w:szCs w:val="22"/>
        </w:rPr>
        <w:t xml:space="preserve"> Data Mart Database (</w:t>
      </w:r>
      <w:proofErr w:type="spellStart"/>
      <w:r w:rsidRPr="00E81240">
        <w:rPr>
          <w:rFonts w:ascii="Times" w:eastAsia="Times" w:hAnsi="Times" w:cs="Times"/>
          <w:sz w:val="22"/>
          <w:szCs w:val="22"/>
        </w:rPr>
        <w:t>OptumInsight</w:t>
      </w:r>
      <w:proofErr w:type="spellEnd"/>
      <w:r w:rsidRPr="00E81240">
        <w:rPr>
          <w:rFonts w:ascii="Times" w:eastAsia="Times" w:hAnsi="Times" w:cs="Times"/>
          <w:sz w:val="22"/>
          <w:szCs w:val="22"/>
        </w:rPr>
        <w:t>, Eden Prairie, MN)</w:t>
      </w:r>
      <w:r>
        <w:rPr>
          <w:rFonts w:ascii="Times" w:eastAsia="Times" w:hAnsi="Times" w:cs="Times"/>
          <w:sz w:val="22"/>
          <w:szCs w:val="22"/>
        </w:rPr>
        <w:t xml:space="preserve">, </w:t>
      </w:r>
      <w:r w:rsidRPr="00E81240">
        <w:rPr>
          <w:rFonts w:ascii="Times" w:eastAsia="Times" w:hAnsi="Times" w:cs="Times"/>
          <w:sz w:val="22"/>
          <w:szCs w:val="22"/>
        </w:rPr>
        <w:t xml:space="preserve">a large, de-identified commercial and Medicare Advantage claims database. Patient-level commercial claims data are available from January 1, 2003 to December 31, 2017. Member enrollment data; diagnostic codes from outpatient, emergency department, and inpatient visits; and pharmacy claims are deterministically linked across file types </w:t>
      </w:r>
      <w:r>
        <w:rPr>
          <w:rFonts w:ascii="Times" w:eastAsia="Times" w:hAnsi="Times" w:cs="Times"/>
          <w:sz w:val="22"/>
          <w:szCs w:val="22"/>
        </w:rPr>
        <w:t>with</w:t>
      </w:r>
      <w:r w:rsidRPr="00E81240">
        <w:rPr>
          <w:rFonts w:ascii="Times" w:eastAsia="Times" w:hAnsi="Times" w:cs="Times"/>
          <w:sz w:val="22"/>
          <w:szCs w:val="22"/>
        </w:rPr>
        <w:t xml:space="preserve"> a unique patient identifier</w:t>
      </w:r>
      <w:r>
        <w:rPr>
          <w:rFonts w:ascii="Times" w:eastAsia="Times" w:hAnsi="Times" w:cs="Times"/>
          <w:sz w:val="22"/>
          <w:szCs w:val="22"/>
        </w:rPr>
        <w:t>. The primary objectives of our statistical analyses were to:</w:t>
      </w:r>
    </w:p>
    <w:p w14:paraId="7FE338F3" w14:textId="4B0CBF42" w:rsidR="008F4890" w:rsidRDefault="008F4890">
      <w:pPr>
        <w:rPr>
          <w:rFonts w:ascii="Times" w:eastAsia="Times" w:hAnsi="Times" w:cs="Times"/>
          <w:sz w:val="22"/>
          <w:szCs w:val="22"/>
        </w:rPr>
      </w:pPr>
    </w:p>
    <w:p w14:paraId="43121FEB" w14:textId="65D7BB39" w:rsidR="008F4890" w:rsidRPr="008F4890" w:rsidRDefault="008F4890" w:rsidP="008F4890">
      <w:pPr>
        <w:pStyle w:val="ListParagraph"/>
        <w:numPr>
          <w:ilvl w:val="0"/>
          <w:numId w:val="2"/>
        </w:numPr>
        <w:ind w:left="360"/>
        <w:rPr>
          <w:rFonts w:ascii="Times" w:hAnsi="Times"/>
          <w:b/>
          <w:bCs/>
          <w:sz w:val="22"/>
          <w:szCs w:val="22"/>
        </w:rPr>
      </w:pPr>
      <w:r>
        <w:rPr>
          <w:rFonts w:ascii="Times" w:hAnsi="Times"/>
          <w:sz w:val="22"/>
          <w:szCs w:val="22"/>
        </w:rPr>
        <w:t>Examine the association between periods of anomalously warm weather and MS-related outpatient, emergency department, and inpatient visits among individuals with MS.</w:t>
      </w:r>
    </w:p>
    <w:p w14:paraId="33F24375" w14:textId="650DC53E" w:rsidR="008F4890" w:rsidRPr="008F4890" w:rsidRDefault="008F4890" w:rsidP="008F4890">
      <w:pPr>
        <w:pStyle w:val="ListParagraph"/>
        <w:numPr>
          <w:ilvl w:val="0"/>
          <w:numId w:val="2"/>
        </w:numPr>
        <w:ind w:left="360"/>
        <w:rPr>
          <w:rFonts w:ascii="Times" w:hAnsi="Times"/>
          <w:b/>
          <w:bCs/>
          <w:sz w:val="22"/>
          <w:szCs w:val="22"/>
        </w:rPr>
      </w:pPr>
      <w:r>
        <w:rPr>
          <w:rFonts w:ascii="Times" w:hAnsi="Times"/>
          <w:sz w:val="22"/>
          <w:szCs w:val="22"/>
        </w:rPr>
        <w:t xml:space="preserve">Examine heterogeneity in these associations by sex, age, season, and region. </w:t>
      </w:r>
    </w:p>
    <w:p w14:paraId="09A7EE2B" w14:textId="0A689242" w:rsidR="008F4890" w:rsidRDefault="008F4890">
      <w:pPr>
        <w:rPr>
          <w:rFonts w:ascii="Times" w:eastAsia="Times" w:hAnsi="Times" w:cs="Times"/>
          <w:sz w:val="22"/>
          <w:szCs w:val="22"/>
        </w:rPr>
      </w:pPr>
    </w:p>
    <w:p w14:paraId="68BFAF03" w14:textId="5902AC09" w:rsidR="008F4890" w:rsidRDefault="008F4890">
      <w:p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Because heat sensitivity is a recognized clinical feature of MS, w</w:t>
      </w:r>
      <w:r w:rsidRPr="008F4890">
        <w:rPr>
          <w:rFonts w:ascii="Times" w:hAnsi="Times"/>
          <w:sz w:val="22"/>
          <w:szCs w:val="22"/>
        </w:rPr>
        <w:t xml:space="preserve">e hypothesized that </w:t>
      </w:r>
      <w:r>
        <w:rPr>
          <w:rFonts w:ascii="Times" w:hAnsi="Times"/>
          <w:sz w:val="22"/>
          <w:szCs w:val="22"/>
        </w:rPr>
        <w:t>risk of MS-related healthcare visits would be increased during periods of anomalously warm weather. Below, we provide details of our analysis plan. We specify which analyses were incorporated post-hoc to further characterize the relationship between anomalously warm weather and MS-related healthcare visits, and which were incorporated in response to comments made during peer review.</w:t>
      </w:r>
    </w:p>
    <w:p w14:paraId="568EAD02" w14:textId="3E286083" w:rsidR="008F4890" w:rsidRDefault="008F4890">
      <w:pPr>
        <w:rPr>
          <w:rFonts w:ascii="Times" w:hAnsi="Times"/>
          <w:sz w:val="22"/>
          <w:szCs w:val="22"/>
        </w:rPr>
      </w:pPr>
    </w:p>
    <w:p w14:paraId="2E0B44A7" w14:textId="180AA8DC" w:rsidR="008F4890" w:rsidRDefault="008F4890">
      <w:pPr>
        <w:rPr>
          <w:rFonts w:ascii="Times" w:hAnsi="Times"/>
          <w:sz w:val="22"/>
          <w:szCs w:val="22"/>
          <w:u w:val="single"/>
        </w:rPr>
      </w:pPr>
      <w:r>
        <w:rPr>
          <w:rFonts w:ascii="Times" w:hAnsi="Times"/>
          <w:sz w:val="22"/>
          <w:szCs w:val="22"/>
          <w:u w:val="single"/>
        </w:rPr>
        <w:t>Study population</w:t>
      </w:r>
    </w:p>
    <w:p w14:paraId="0496DC69" w14:textId="2FA030A0" w:rsidR="008F4890" w:rsidRDefault="008F4890" w:rsidP="008F4890">
      <w:pPr>
        <w:rPr>
          <w:rFonts w:ascii="Times" w:eastAsia="Times" w:hAnsi="Times" w:cs="Times"/>
          <w:sz w:val="22"/>
          <w:szCs w:val="22"/>
        </w:rPr>
      </w:pPr>
      <w:r w:rsidRPr="00E81240">
        <w:rPr>
          <w:rFonts w:ascii="Times" w:eastAsia="Times" w:hAnsi="Times" w:cs="Times"/>
          <w:sz w:val="22"/>
          <w:szCs w:val="22"/>
        </w:rPr>
        <w:t xml:space="preserve">Individuals eligible for the present study </w:t>
      </w:r>
      <w:r>
        <w:rPr>
          <w:rFonts w:ascii="Times" w:eastAsia="Times" w:hAnsi="Times" w:cs="Times"/>
          <w:sz w:val="22"/>
          <w:szCs w:val="22"/>
        </w:rPr>
        <w:t>were between the ages of 18–64</w:t>
      </w:r>
      <w:r w:rsidR="000B248C">
        <w:rPr>
          <w:rFonts w:ascii="Times" w:eastAsia="Times" w:hAnsi="Times" w:cs="Times"/>
          <w:sz w:val="22"/>
          <w:szCs w:val="22"/>
        </w:rPr>
        <w:t xml:space="preserve"> years</w:t>
      </w:r>
      <w:r>
        <w:rPr>
          <w:rFonts w:ascii="Times" w:eastAsia="Times" w:hAnsi="Times" w:cs="Times"/>
          <w:sz w:val="22"/>
          <w:szCs w:val="22"/>
        </w:rPr>
        <w:t xml:space="preserve">, </w:t>
      </w:r>
      <w:r w:rsidRPr="00E81240">
        <w:rPr>
          <w:rFonts w:ascii="Times" w:eastAsia="Times" w:hAnsi="Times" w:cs="Times"/>
          <w:sz w:val="22"/>
          <w:szCs w:val="22"/>
        </w:rPr>
        <w:t xml:space="preserve"> resided in any of the lower 48 states or District of Columbia, were eligible for insurance for at least one month, and were identified as having MS based on a previously validated algorithm.</w:t>
      </w:r>
      <w:r w:rsidRPr="00E81240">
        <w:rPr>
          <w:rFonts w:ascii="Times" w:eastAsia="Times" w:hAnsi="Times" w:cs="Times"/>
          <w:sz w:val="22"/>
          <w:szCs w:val="22"/>
        </w:rPr>
        <w:fldChar w:fldCharType="begin"/>
      </w:r>
      <w:r w:rsidR="0069140B">
        <w:rPr>
          <w:rFonts w:ascii="Times" w:eastAsia="Times" w:hAnsi="Times" w:cs="Times"/>
          <w:sz w:val="22"/>
          <w:szCs w:val="22"/>
        </w:rPr>
        <w:instrText xml:space="preserve"> ADDIN EN.CITE &lt;EndNote&gt;&lt;Cite&gt;&lt;Author&gt;Culpepper&lt;/Author&gt;&lt;Year&gt;2019&lt;/Year&gt;&lt;RecNum&gt;137&lt;/RecNum&gt;&lt;DisplayText&gt;[1]&lt;/DisplayText&gt;&lt;record&gt;&lt;rec-number&gt;137&lt;/rec-number&gt;&lt;foreign-keys&gt;&lt;key app="EN" db-id="pda9d5xd90e9foe5pw3xsds79a5dx5dtvxps" timestamp="1600873109"&gt;137&lt;/key&gt;&lt;/foreign-keys&gt;&lt;ref-type name="Journal Article"&gt;17&lt;/ref-type&gt;&lt;contributors&gt;&lt;authors&gt;&lt;author&gt;Culpepper, William J&lt;/author&gt;&lt;author&gt;Marrie, Ruth Ann&lt;/author&gt;&lt;author&gt;Langer-Gould, Annette&lt;/author&gt;&lt;author&gt;Wallin, Mitchell T&lt;/author&gt;&lt;author&gt;Campbell, Jonathan D&lt;/author&gt;&lt;author&gt;Nelson, Lorene M&lt;/author&gt;&lt;author&gt;Kaye, Wendy E&lt;/author&gt;&lt;author&gt;Wagner, Laurie&lt;/author&gt;&lt;author&gt;Tremlett, Helen&lt;/author&gt;&lt;author&gt;Chen, Lie H&lt;/author&gt;&lt;/authors&gt;&lt;/contributors&gt;&lt;titles&gt;&lt;title&gt;Validation of an algorithm for identifying MS cases in administrative health claims datasets&lt;/title&gt;&lt;secondary-title&gt;Neurology&lt;/secondary-title&gt;&lt;/titles&gt;&lt;periodical&gt;&lt;full-title&gt;Neurology&lt;/full-title&gt;&lt;/periodical&gt;&lt;pages&gt;e1016-e1028&lt;/pages&gt;&lt;volume&gt;92&lt;/volume&gt;&lt;number&gt;10&lt;/number&gt;&lt;dates&gt;&lt;year&gt;2019&lt;/year&gt;&lt;/dates&gt;&lt;isbn&gt;0028-3878&lt;/isbn&gt;&lt;urls&gt;&lt;/urls&gt;&lt;/record&gt;&lt;/Cite&gt;&lt;/EndNote&gt;</w:instrText>
      </w:r>
      <w:r w:rsidRPr="00E81240">
        <w:rPr>
          <w:rFonts w:ascii="Times" w:eastAsia="Times" w:hAnsi="Times" w:cs="Times"/>
          <w:sz w:val="22"/>
          <w:szCs w:val="22"/>
        </w:rPr>
        <w:fldChar w:fldCharType="separate"/>
      </w:r>
      <w:r w:rsidR="0069140B">
        <w:rPr>
          <w:rFonts w:ascii="Times" w:eastAsia="Times" w:hAnsi="Times" w:cs="Times"/>
          <w:noProof/>
          <w:sz w:val="22"/>
          <w:szCs w:val="22"/>
        </w:rPr>
        <w:t>[1]</w:t>
      </w:r>
      <w:r w:rsidRPr="00E81240">
        <w:rPr>
          <w:rFonts w:ascii="Times" w:eastAsia="Times" w:hAnsi="Times" w:cs="Times"/>
          <w:sz w:val="22"/>
          <w:szCs w:val="22"/>
        </w:rPr>
        <w:fldChar w:fldCharType="end"/>
      </w:r>
      <w:r w:rsidRPr="00E81240">
        <w:rPr>
          <w:rFonts w:ascii="Times" w:eastAsia="Times" w:hAnsi="Times" w:cs="Times"/>
          <w:sz w:val="22"/>
          <w:szCs w:val="22"/>
        </w:rPr>
        <w:t xml:space="preserve"> This </w:t>
      </w:r>
      <w:r w:rsidR="00BE0314">
        <w:rPr>
          <w:rFonts w:ascii="Times" w:eastAsia="Times" w:hAnsi="Times" w:cs="Times"/>
          <w:sz w:val="22"/>
          <w:szCs w:val="22"/>
        </w:rPr>
        <w:t>algorithm requires</w:t>
      </w:r>
      <w:r w:rsidRPr="00E81240">
        <w:rPr>
          <w:rFonts w:ascii="Times" w:eastAsia="Times" w:hAnsi="Times" w:cs="Times"/>
          <w:sz w:val="22"/>
          <w:szCs w:val="22"/>
        </w:rPr>
        <w:t xml:space="preserve"> at least three MS-related claims for any combination of inpatient, outpatient, or disease-modifying therapy (DMT) claims within 365</w:t>
      </w:r>
      <w:r>
        <w:rPr>
          <w:rFonts w:ascii="Times" w:eastAsia="Times" w:hAnsi="Times" w:cs="Times"/>
          <w:sz w:val="22"/>
          <w:szCs w:val="22"/>
        </w:rPr>
        <w:t xml:space="preserve"> </w:t>
      </w:r>
      <w:r w:rsidRPr="00E81240">
        <w:rPr>
          <w:rFonts w:ascii="Times" w:eastAsia="Times" w:hAnsi="Times" w:cs="Times"/>
          <w:sz w:val="22"/>
          <w:szCs w:val="22"/>
        </w:rPr>
        <w:t>day</w:t>
      </w:r>
      <w:r>
        <w:rPr>
          <w:rFonts w:ascii="Times" w:eastAsia="Times" w:hAnsi="Times" w:cs="Times"/>
          <w:sz w:val="22"/>
          <w:szCs w:val="22"/>
        </w:rPr>
        <w:t>s</w:t>
      </w:r>
      <w:r w:rsidRPr="00E81240">
        <w:rPr>
          <w:rFonts w:ascii="Times" w:eastAsia="Times" w:hAnsi="Times" w:cs="Times"/>
          <w:sz w:val="22"/>
          <w:szCs w:val="22"/>
        </w:rPr>
        <w:t xml:space="preserve">. MS-related inpatient and outpatient claims </w:t>
      </w:r>
      <w:r w:rsidR="00BE0314">
        <w:rPr>
          <w:rFonts w:ascii="Times" w:eastAsia="Times" w:hAnsi="Times" w:cs="Times"/>
          <w:sz w:val="22"/>
          <w:szCs w:val="22"/>
        </w:rPr>
        <w:t>are</w:t>
      </w:r>
      <w:r w:rsidR="00BE0314" w:rsidRPr="00E81240">
        <w:rPr>
          <w:rFonts w:ascii="Times" w:eastAsia="Times" w:hAnsi="Times" w:cs="Times"/>
          <w:sz w:val="22"/>
          <w:szCs w:val="22"/>
        </w:rPr>
        <w:t xml:space="preserve"> </w:t>
      </w:r>
      <w:r w:rsidRPr="00E81240">
        <w:rPr>
          <w:rFonts w:ascii="Times" w:eastAsia="Times" w:hAnsi="Times" w:cs="Times"/>
          <w:sz w:val="22"/>
          <w:szCs w:val="22"/>
        </w:rPr>
        <w:t xml:space="preserve">identified using primary diagnostic code 340 from the </w:t>
      </w:r>
      <w:r w:rsidRPr="00E81240">
        <w:rPr>
          <w:rFonts w:ascii="Times" w:eastAsia="Times" w:hAnsi="Times" w:cs="Times"/>
          <w:i/>
          <w:sz w:val="22"/>
          <w:szCs w:val="22"/>
        </w:rPr>
        <w:t>International Classification of Diseases, Ninth Revision</w:t>
      </w:r>
      <w:r w:rsidRPr="00E81240">
        <w:rPr>
          <w:rFonts w:ascii="Times" w:eastAsia="Times" w:hAnsi="Times" w:cs="Times"/>
          <w:sz w:val="22"/>
          <w:szCs w:val="22"/>
        </w:rPr>
        <w:t xml:space="preserve"> (</w:t>
      </w:r>
      <w:r w:rsidRPr="00E81240">
        <w:rPr>
          <w:rFonts w:ascii="Times" w:eastAsia="Times" w:hAnsi="Times" w:cs="Times"/>
          <w:i/>
          <w:sz w:val="22"/>
          <w:szCs w:val="22"/>
        </w:rPr>
        <w:t>ICD-9</w:t>
      </w:r>
      <w:r w:rsidRPr="00E81240">
        <w:rPr>
          <w:rFonts w:ascii="Times" w:eastAsia="Times" w:hAnsi="Times" w:cs="Times"/>
          <w:sz w:val="22"/>
          <w:szCs w:val="22"/>
        </w:rPr>
        <w:t xml:space="preserve">), and G35 from the </w:t>
      </w:r>
      <w:r w:rsidRPr="00E81240">
        <w:rPr>
          <w:rFonts w:ascii="Times" w:eastAsia="Times" w:hAnsi="Times" w:cs="Times"/>
          <w:i/>
          <w:sz w:val="22"/>
          <w:szCs w:val="22"/>
        </w:rPr>
        <w:t>ICD-10</w:t>
      </w:r>
      <w:r w:rsidRPr="00E81240">
        <w:rPr>
          <w:rFonts w:ascii="Times" w:eastAsia="Times" w:hAnsi="Times" w:cs="Times"/>
          <w:sz w:val="22"/>
          <w:szCs w:val="22"/>
        </w:rPr>
        <w:t xml:space="preserve">. Prescription claims for DMT </w:t>
      </w:r>
      <w:r>
        <w:rPr>
          <w:rFonts w:ascii="Times" w:eastAsia="Times" w:hAnsi="Times" w:cs="Times"/>
          <w:sz w:val="22"/>
          <w:szCs w:val="22"/>
        </w:rPr>
        <w:t>include</w:t>
      </w:r>
      <w:r w:rsidR="00BE0314">
        <w:rPr>
          <w:rFonts w:ascii="Times" w:eastAsia="Times" w:hAnsi="Times" w:cs="Times"/>
          <w:sz w:val="22"/>
          <w:szCs w:val="22"/>
        </w:rPr>
        <w:t xml:space="preserve"> </w:t>
      </w:r>
      <w:r w:rsidRPr="00E81240">
        <w:rPr>
          <w:rFonts w:ascii="Times" w:eastAsia="Times" w:hAnsi="Times" w:cs="Times"/>
          <w:sz w:val="22"/>
          <w:szCs w:val="22"/>
        </w:rPr>
        <w:t xml:space="preserve">interferon beta-1a-SC, interferon beta-1a-IM, interferon beta-1b-SC, pegylated interferon beta 1b, glatiramer acetate, dimethyl fumarate, fingolimod, </w:t>
      </w:r>
      <w:proofErr w:type="spellStart"/>
      <w:r w:rsidRPr="00E81240">
        <w:rPr>
          <w:rFonts w:ascii="Times" w:eastAsia="Times" w:hAnsi="Times" w:cs="Times"/>
          <w:sz w:val="22"/>
          <w:szCs w:val="22"/>
        </w:rPr>
        <w:t>siponimod</w:t>
      </w:r>
      <w:proofErr w:type="spellEnd"/>
      <w:r w:rsidRPr="00E81240">
        <w:rPr>
          <w:rFonts w:ascii="Times" w:eastAsia="Times" w:hAnsi="Times" w:cs="Times"/>
          <w:sz w:val="22"/>
          <w:szCs w:val="22"/>
        </w:rPr>
        <w:t>, teriflunomide, cladribine, mitoxantrone, alemtuzumab, ocrelizumab, or natalizumab.</w:t>
      </w:r>
    </w:p>
    <w:p w14:paraId="6BFCB93D" w14:textId="77777777" w:rsidR="008F4890" w:rsidRPr="008F4890" w:rsidRDefault="008F4890">
      <w:pPr>
        <w:rPr>
          <w:rFonts w:ascii="Times" w:hAnsi="Times"/>
          <w:sz w:val="22"/>
          <w:szCs w:val="22"/>
        </w:rPr>
      </w:pPr>
    </w:p>
    <w:p w14:paraId="455420EB" w14:textId="75E47557" w:rsidR="008F4890" w:rsidRDefault="00D40A5F">
      <w:pPr>
        <w:rPr>
          <w:rFonts w:ascii="Times" w:hAnsi="Times"/>
          <w:sz w:val="22"/>
          <w:szCs w:val="22"/>
          <w:u w:val="single"/>
        </w:rPr>
      </w:pPr>
      <w:r>
        <w:rPr>
          <w:rFonts w:ascii="Times" w:hAnsi="Times"/>
          <w:sz w:val="22"/>
          <w:szCs w:val="22"/>
          <w:u w:val="single"/>
        </w:rPr>
        <w:t xml:space="preserve">Exposure – </w:t>
      </w:r>
      <w:r w:rsidR="008F4890">
        <w:rPr>
          <w:rFonts w:ascii="Times" w:hAnsi="Times"/>
          <w:sz w:val="22"/>
          <w:szCs w:val="22"/>
          <w:u w:val="single"/>
        </w:rPr>
        <w:t>Anomalously Warm Weather</w:t>
      </w:r>
    </w:p>
    <w:p w14:paraId="6F1C1B2B" w14:textId="68898FF6" w:rsidR="008F4890" w:rsidRPr="008F4890" w:rsidRDefault="008F4890">
      <w:pPr>
        <w:rPr>
          <w:rFonts w:ascii="Times" w:eastAsia="Times" w:hAnsi="Times" w:cs="Times"/>
          <w:sz w:val="22"/>
          <w:szCs w:val="22"/>
        </w:rPr>
      </w:pPr>
      <w:r>
        <w:rPr>
          <w:rFonts w:ascii="Times" w:eastAsia="Times" w:hAnsi="Times" w:cs="Times"/>
          <w:sz w:val="22"/>
          <w:szCs w:val="22"/>
        </w:rPr>
        <w:t xml:space="preserve">The primary exposure of interest for the present study </w:t>
      </w:r>
      <w:r w:rsidR="00BE0314">
        <w:rPr>
          <w:rFonts w:ascii="Times" w:eastAsia="Times" w:hAnsi="Times" w:cs="Times"/>
          <w:sz w:val="22"/>
          <w:szCs w:val="22"/>
        </w:rPr>
        <w:t xml:space="preserve">is </w:t>
      </w:r>
      <w:r>
        <w:rPr>
          <w:rFonts w:ascii="Times" w:eastAsia="Times" w:hAnsi="Times" w:cs="Times"/>
          <w:sz w:val="22"/>
          <w:szCs w:val="22"/>
        </w:rPr>
        <w:t xml:space="preserve">anomalously warm weather, which </w:t>
      </w:r>
      <w:r w:rsidR="00BE0314">
        <w:rPr>
          <w:rFonts w:ascii="Times" w:eastAsia="Times" w:hAnsi="Times" w:cs="Times"/>
          <w:sz w:val="22"/>
          <w:szCs w:val="22"/>
        </w:rPr>
        <w:t xml:space="preserve">will be </w:t>
      </w:r>
      <w:r>
        <w:rPr>
          <w:rFonts w:ascii="Times" w:eastAsia="Times" w:hAnsi="Times" w:cs="Times"/>
          <w:sz w:val="22"/>
          <w:szCs w:val="22"/>
        </w:rPr>
        <w:t>defined</w:t>
      </w:r>
      <w:r w:rsidR="00BE0314">
        <w:rPr>
          <w:rFonts w:ascii="Times" w:eastAsia="Times" w:hAnsi="Times" w:cs="Times"/>
          <w:sz w:val="22"/>
          <w:szCs w:val="22"/>
        </w:rPr>
        <w:t xml:space="preserve"> using temperature data</w:t>
      </w:r>
      <w:r>
        <w:rPr>
          <w:rFonts w:ascii="Times" w:eastAsia="Times" w:hAnsi="Times" w:cs="Times"/>
          <w:sz w:val="22"/>
          <w:szCs w:val="22"/>
        </w:rPr>
        <w:t xml:space="preserve"> at the county-month level. </w:t>
      </w:r>
      <w:r w:rsidRPr="00E81240">
        <w:rPr>
          <w:rFonts w:ascii="Times" w:eastAsia="Times" w:hAnsi="Times" w:cs="Times"/>
          <w:sz w:val="22"/>
          <w:szCs w:val="22"/>
        </w:rPr>
        <w:t xml:space="preserve">Temperature data </w:t>
      </w:r>
      <w:r w:rsidR="00BE0314">
        <w:rPr>
          <w:rFonts w:ascii="Times" w:eastAsia="Times" w:hAnsi="Times" w:cs="Times"/>
          <w:sz w:val="22"/>
          <w:szCs w:val="22"/>
        </w:rPr>
        <w:t>are</w:t>
      </w:r>
      <w:r w:rsidR="00BE0314" w:rsidRPr="00E81240">
        <w:rPr>
          <w:rFonts w:ascii="Times" w:eastAsia="Times" w:hAnsi="Times" w:cs="Times"/>
          <w:sz w:val="22"/>
          <w:szCs w:val="22"/>
        </w:rPr>
        <w:t xml:space="preserve"> </w:t>
      </w:r>
      <w:r w:rsidRPr="00E81240">
        <w:rPr>
          <w:rFonts w:ascii="Times" w:eastAsia="Times" w:hAnsi="Times" w:cs="Times"/>
          <w:sz w:val="22"/>
          <w:szCs w:val="22"/>
        </w:rPr>
        <w:t>available through the European Centre for Medium-Range Weather Forecast’s (ECMWF) open-access ERA5 reanalysis.</w:t>
      </w:r>
      <w:r w:rsidRPr="00E81240">
        <w:rPr>
          <w:rFonts w:ascii="Times" w:eastAsia="Times" w:hAnsi="Times" w:cs="Times"/>
          <w:sz w:val="22"/>
          <w:szCs w:val="22"/>
        </w:rPr>
        <w:fldChar w:fldCharType="begin"/>
      </w:r>
      <w:r w:rsidR="0069140B">
        <w:rPr>
          <w:rFonts w:ascii="Times" w:eastAsia="Times" w:hAnsi="Times" w:cs="Times"/>
          <w:sz w:val="22"/>
          <w:szCs w:val="22"/>
        </w:rPr>
        <w:instrText xml:space="preserve"> ADDIN EN.CITE &lt;EndNote&gt;&lt;Cite&gt;&lt;Author&gt;ECMWF&lt;/Author&gt;&lt;Year&gt;2020&lt;/Year&gt;&lt;RecNum&gt;138&lt;/RecNum&gt;&lt;DisplayText&gt;[2]&lt;/DisplayText&gt;&lt;record&gt;&lt;rec-number&gt;138&lt;/rec-number&gt;&lt;foreign-keys&gt;&lt;key app="EN" db-id="pda9d5xd90e9foe5pw3xsds79a5dx5dtvxps" timestamp="1600873303"&gt;138&lt;/key&gt;&lt;/foreign-keys&gt;&lt;ref-type name="Web Page"&gt;12&lt;/ref-type&gt;&lt;contributors&gt;&lt;authors&gt;&lt;author&gt;ECMWF,&lt;/author&gt;&lt;/authors&gt;&lt;/contributors&gt;&lt;titles&gt;&lt;title&gt;ERA5&lt;/title&gt;&lt;/titles&gt;&lt;volume&gt;2020&lt;/volume&gt;&lt;number&gt;April 10&lt;/number&gt;&lt;dates&gt;&lt;year&gt;2020&lt;/year&gt;&lt;/dates&gt;&lt;urls&gt;&lt;related-urls&gt;&lt;url&gt;https://www.ecmwf.int/en/forecasts/datasets/reanalysis-datasets/era5&lt;/url&gt;&lt;/related-urls&gt;&lt;/urls&gt;&lt;/record&gt;&lt;/Cite&gt;&lt;/EndNote&gt;</w:instrText>
      </w:r>
      <w:r w:rsidRPr="00E81240">
        <w:rPr>
          <w:rFonts w:ascii="Times" w:eastAsia="Times" w:hAnsi="Times" w:cs="Times"/>
          <w:sz w:val="22"/>
          <w:szCs w:val="22"/>
        </w:rPr>
        <w:fldChar w:fldCharType="separate"/>
      </w:r>
      <w:r w:rsidR="0069140B">
        <w:rPr>
          <w:rFonts w:ascii="Times" w:eastAsia="Times" w:hAnsi="Times" w:cs="Times"/>
          <w:noProof/>
          <w:sz w:val="22"/>
          <w:szCs w:val="22"/>
        </w:rPr>
        <w:t>[2]</w:t>
      </w:r>
      <w:r w:rsidRPr="00E81240">
        <w:rPr>
          <w:rFonts w:ascii="Times" w:eastAsia="Times" w:hAnsi="Times" w:cs="Times"/>
          <w:sz w:val="22"/>
          <w:szCs w:val="22"/>
        </w:rPr>
        <w:fldChar w:fldCharType="end"/>
      </w:r>
      <w:r>
        <w:rPr>
          <w:rFonts w:ascii="Times" w:eastAsia="Times" w:hAnsi="Times" w:cs="Times"/>
          <w:sz w:val="22"/>
          <w:szCs w:val="22"/>
        </w:rPr>
        <w:t xml:space="preserve"> We </w:t>
      </w:r>
      <w:r w:rsidR="00BE0314">
        <w:rPr>
          <w:rFonts w:ascii="Times" w:eastAsia="Times" w:hAnsi="Times" w:cs="Times"/>
          <w:sz w:val="22"/>
          <w:szCs w:val="22"/>
        </w:rPr>
        <w:t xml:space="preserve">will define </w:t>
      </w:r>
      <w:r>
        <w:rPr>
          <w:rFonts w:ascii="Times" w:eastAsia="Times" w:hAnsi="Times" w:cs="Times"/>
          <w:sz w:val="22"/>
          <w:szCs w:val="22"/>
        </w:rPr>
        <w:t xml:space="preserve">anomalies as </w:t>
      </w:r>
      <w:r w:rsidR="00BE0314">
        <w:rPr>
          <w:rFonts w:ascii="Times" w:eastAsia="Times" w:hAnsi="Times" w:cs="Times"/>
          <w:sz w:val="22"/>
          <w:szCs w:val="22"/>
        </w:rPr>
        <w:t xml:space="preserve">a </w:t>
      </w:r>
      <w:r>
        <w:rPr>
          <w:rFonts w:ascii="Times" w:eastAsia="Times" w:hAnsi="Times" w:cs="Times"/>
          <w:sz w:val="22"/>
          <w:szCs w:val="22"/>
        </w:rPr>
        <w:t xml:space="preserve">deviation of monthly average temperatures from the long-term average temperature over the study period for each calendar month by at least 1.5˚C. Alternative metrics </w:t>
      </w:r>
      <w:r w:rsidR="00BE0314">
        <w:rPr>
          <w:rFonts w:ascii="Times" w:eastAsia="Times" w:hAnsi="Times" w:cs="Times"/>
          <w:sz w:val="22"/>
          <w:szCs w:val="22"/>
        </w:rPr>
        <w:t xml:space="preserve">will include </w:t>
      </w:r>
      <w:r w:rsidR="003A5774">
        <w:rPr>
          <w:rFonts w:ascii="Times" w:eastAsia="Times" w:hAnsi="Times" w:cs="Times"/>
          <w:sz w:val="22"/>
          <w:szCs w:val="22"/>
        </w:rPr>
        <w:t xml:space="preserve">a continuous measure of the deviation between monthly average and long-term average temperatures, </w:t>
      </w:r>
      <w:r>
        <w:rPr>
          <w:rFonts w:ascii="Times" w:eastAsia="Times" w:hAnsi="Times" w:cs="Times"/>
          <w:sz w:val="22"/>
          <w:szCs w:val="22"/>
        </w:rPr>
        <w:t xml:space="preserve">continuous, monthly average temperature and a measure of cool measure anomalies in which the monthly average temperatures </w:t>
      </w:r>
      <w:r w:rsidR="00BE0314">
        <w:rPr>
          <w:rFonts w:ascii="Times" w:eastAsia="Times" w:hAnsi="Times" w:cs="Times"/>
          <w:sz w:val="22"/>
          <w:szCs w:val="22"/>
        </w:rPr>
        <w:t xml:space="preserve">is </w:t>
      </w:r>
      <w:r>
        <w:rPr>
          <w:rFonts w:ascii="Times" w:eastAsia="Times" w:hAnsi="Times" w:cs="Times"/>
          <w:sz w:val="22"/>
          <w:szCs w:val="22"/>
        </w:rPr>
        <w:t xml:space="preserve">at least 1.5˚C below the long-term average for that calendar month. </w:t>
      </w:r>
      <w:r w:rsidR="00BE0314">
        <w:rPr>
          <w:rFonts w:ascii="Times" w:eastAsia="Times" w:hAnsi="Times" w:cs="Times"/>
          <w:sz w:val="22"/>
          <w:szCs w:val="22"/>
        </w:rPr>
        <w:t>We will also create</w:t>
      </w:r>
      <w:r>
        <w:rPr>
          <w:rFonts w:ascii="Times" w:eastAsia="Times" w:hAnsi="Times" w:cs="Times"/>
          <w:sz w:val="22"/>
          <w:szCs w:val="22"/>
        </w:rPr>
        <w:t xml:space="preserve"> a series of alternativ</w:t>
      </w:r>
      <w:r w:rsidR="003A5774">
        <w:rPr>
          <w:rFonts w:ascii="Times" w:eastAsia="Times" w:hAnsi="Times" w:cs="Times"/>
          <w:sz w:val="22"/>
          <w:szCs w:val="22"/>
        </w:rPr>
        <w:t xml:space="preserve">e exposure measured in which we varied the threshold at which we defined anomalously warm weather (0.5, 1.0, 2.0˚C above the long-term average). </w:t>
      </w:r>
    </w:p>
    <w:p w14:paraId="789B6871" w14:textId="7D02A438" w:rsidR="008F4890" w:rsidRDefault="008F4890">
      <w:pPr>
        <w:rPr>
          <w:rFonts w:ascii="Times" w:eastAsia="Times" w:hAnsi="Times" w:cs="Times"/>
          <w:i/>
          <w:iCs/>
          <w:sz w:val="22"/>
          <w:szCs w:val="22"/>
        </w:rPr>
      </w:pPr>
    </w:p>
    <w:p w14:paraId="6962EB35" w14:textId="03126CA6" w:rsidR="008F4890" w:rsidRDefault="00D40A5F">
      <w:pPr>
        <w:rPr>
          <w:rFonts w:ascii="Times" w:eastAsia="Times" w:hAnsi="Times" w:cs="Times"/>
          <w:i/>
          <w:iCs/>
          <w:sz w:val="22"/>
          <w:szCs w:val="22"/>
        </w:rPr>
      </w:pPr>
      <w:r>
        <w:rPr>
          <w:rFonts w:ascii="Times" w:eastAsia="Times" w:hAnsi="Times" w:cs="Times"/>
          <w:i/>
          <w:iCs/>
          <w:sz w:val="22"/>
          <w:szCs w:val="22"/>
        </w:rPr>
        <w:t>Modifications carried out during peer review</w:t>
      </w:r>
    </w:p>
    <w:p w14:paraId="5B50C576" w14:textId="170FEBBE" w:rsidR="003A5774" w:rsidRDefault="003A5774">
      <w:pPr>
        <w:rPr>
          <w:rFonts w:ascii="Times" w:eastAsia="Times" w:hAnsi="Times" w:cs="Times"/>
          <w:sz w:val="22"/>
          <w:szCs w:val="22"/>
        </w:rPr>
      </w:pPr>
      <w:r>
        <w:rPr>
          <w:rFonts w:ascii="Times" w:eastAsia="Times" w:hAnsi="Times" w:cs="Times"/>
          <w:sz w:val="22"/>
          <w:szCs w:val="22"/>
        </w:rPr>
        <w:t>In response to comments made during peer review, we used the ECMWF temperature data to create several alternative exposure metrics. These included:</w:t>
      </w:r>
    </w:p>
    <w:p w14:paraId="58D3922B" w14:textId="479B53A9" w:rsidR="003A5774" w:rsidRDefault="003A5774">
      <w:pPr>
        <w:rPr>
          <w:rFonts w:ascii="Times" w:eastAsia="Times" w:hAnsi="Times" w:cs="Times"/>
          <w:sz w:val="22"/>
          <w:szCs w:val="22"/>
        </w:rPr>
      </w:pPr>
    </w:p>
    <w:p w14:paraId="1B3C111C" w14:textId="1FA4C762" w:rsidR="003A5774" w:rsidRPr="00D40A5F" w:rsidRDefault="003A5774" w:rsidP="003A5774">
      <w:pPr>
        <w:pStyle w:val="ListParagraph"/>
        <w:numPr>
          <w:ilvl w:val="0"/>
          <w:numId w:val="3"/>
        </w:numPr>
        <w:ind w:left="360"/>
        <w:rPr>
          <w:rFonts w:ascii="Times" w:hAnsi="Times"/>
          <w:sz w:val="22"/>
          <w:szCs w:val="22"/>
        </w:rPr>
      </w:pPr>
      <w:r w:rsidRPr="00D40A5F">
        <w:rPr>
          <w:rFonts w:ascii="Times" w:hAnsi="Times"/>
          <w:sz w:val="22"/>
          <w:szCs w:val="22"/>
        </w:rPr>
        <w:t>A version of the main exposure variable in which the anomalies were lagged forward one month.</w:t>
      </w:r>
    </w:p>
    <w:p w14:paraId="0F81D019" w14:textId="15A9A17F" w:rsidR="003A5774" w:rsidRPr="00D40A5F" w:rsidRDefault="003A5774" w:rsidP="003A5774">
      <w:pPr>
        <w:pStyle w:val="ListParagraph"/>
        <w:numPr>
          <w:ilvl w:val="0"/>
          <w:numId w:val="3"/>
        </w:numPr>
        <w:ind w:left="360"/>
        <w:rPr>
          <w:rFonts w:ascii="Times" w:hAnsi="Times"/>
          <w:sz w:val="22"/>
          <w:szCs w:val="22"/>
        </w:rPr>
      </w:pPr>
      <w:r w:rsidRPr="00D40A5F">
        <w:rPr>
          <w:rFonts w:ascii="Times" w:hAnsi="Times"/>
          <w:sz w:val="22"/>
          <w:szCs w:val="22"/>
        </w:rPr>
        <w:t xml:space="preserve">A version of the main exposure variable in which the anomalies were lagged backward one month. </w:t>
      </w:r>
    </w:p>
    <w:p w14:paraId="2CE564A5" w14:textId="0C0B01CD" w:rsidR="003A5774" w:rsidRPr="003A5774" w:rsidRDefault="003A5774" w:rsidP="003A5774">
      <w:pPr>
        <w:pStyle w:val="ListParagraph"/>
        <w:numPr>
          <w:ilvl w:val="0"/>
          <w:numId w:val="3"/>
        </w:numPr>
        <w:ind w:left="360"/>
        <w:rPr>
          <w:rFonts w:ascii="Times" w:hAnsi="Times"/>
          <w:sz w:val="22"/>
          <w:szCs w:val="22"/>
          <w:u w:val="single"/>
        </w:rPr>
      </w:pPr>
      <w:r>
        <w:rPr>
          <w:rFonts w:ascii="Times" w:hAnsi="Times"/>
          <w:sz w:val="22"/>
          <w:szCs w:val="22"/>
        </w:rPr>
        <w:lastRenderedPageBreak/>
        <w:t xml:space="preserve">A categorical variable for the deviation between monthly average and long-term average temperature, in which </w:t>
      </w:r>
      <w:r w:rsidR="00D40A5F">
        <w:rPr>
          <w:rFonts w:ascii="Times" w:hAnsi="Times"/>
          <w:sz w:val="22"/>
          <w:szCs w:val="22"/>
        </w:rPr>
        <w:t xml:space="preserve">the categories were defined as ≥ 0.0˚C, &gt; 0.0 and ≤1.5˚C, &gt;1.5 and ≤3.0˚C, &gt;3.0 and ≤ 4.5˚C and &gt;4.5˚C.  </w:t>
      </w:r>
    </w:p>
    <w:p w14:paraId="0D85C0A2" w14:textId="27A5323F" w:rsidR="003A5774" w:rsidRPr="00D40A5F" w:rsidRDefault="003A5774" w:rsidP="003A5774">
      <w:pPr>
        <w:pStyle w:val="ListParagraph"/>
        <w:numPr>
          <w:ilvl w:val="0"/>
          <w:numId w:val="3"/>
        </w:numPr>
        <w:ind w:left="360"/>
        <w:rPr>
          <w:rFonts w:ascii="Times" w:hAnsi="Times"/>
          <w:sz w:val="22"/>
          <w:szCs w:val="22"/>
        </w:rPr>
      </w:pPr>
      <w:r w:rsidRPr="00D40A5F">
        <w:rPr>
          <w:rFonts w:ascii="Times" w:hAnsi="Times"/>
          <w:sz w:val="22"/>
          <w:szCs w:val="22"/>
        </w:rPr>
        <w:t>A continuous measure of the number of days each month where the temperature exceeded the long-term average for that calendar day.</w:t>
      </w:r>
    </w:p>
    <w:p w14:paraId="34346D4E" w14:textId="2239D41E" w:rsidR="003A5774" w:rsidRDefault="003A5774" w:rsidP="00D40A5F">
      <w:pPr>
        <w:pStyle w:val="ListParagraph"/>
        <w:numPr>
          <w:ilvl w:val="0"/>
          <w:numId w:val="3"/>
        </w:numPr>
        <w:ind w:left="360"/>
        <w:rPr>
          <w:rFonts w:ascii="Times" w:hAnsi="Times"/>
          <w:sz w:val="22"/>
          <w:szCs w:val="22"/>
        </w:rPr>
      </w:pPr>
      <w:r w:rsidRPr="003A5774">
        <w:rPr>
          <w:rFonts w:ascii="Times" w:hAnsi="Times"/>
          <w:sz w:val="22"/>
          <w:szCs w:val="22"/>
        </w:rPr>
        <w:t>A categorical measure of the number of days each month where the temperature exceeded the long-term average for that calendar day, with</w:t>
      </w:r>
      <w:r>
        <w:rPr>
          <w:rFonts w:ascii="Times" w:hAnsi="Times"/>
          <w:sz w:val="22"/>
          <w:szCs w:val="22"/>
        </w:rPr>
        <w:t xml:space="preserve"> </w:t>
      </w:r>
      <w:r w:rsidR="00BE0314">
        <w:rPr>
          <w:rFonts w:ascii="Times" w:hAnsi="Times"/>
          <w:sz w:val="22"/>
          <w:szCs w:val="22"/>
        </w:rPr>
        <w:t xml:space="preserve">categories defined as 1 – 6; 7 – 9; 10 – 13; 14 or more anomalous days with zero anomalous days as the referent groups. </w:t>
      </w:r>
    </w:p>
    <w:p w14:paraId="49AE60B0" w14:textId="0B193DEF" w:rsidR="00D40A5F" w:rsidRDefault="00D40A5F" w:rsidP="00D40A5F">
      <w:pPr>
        <w:rPr>
          <w:rFonts w:ascii="Times" w:hAnsi="Times"/>
          <w:sz w:val="22"/>
          <w:szCs w:val="22"/>
        </w:rPr>
      </w:pPr>
    </w:p>
    <w:p w14:paraId="6269B670" w14:textId="4BFB6FBF" w:rsidR="00D40A5F" w:rsidRDefault="00D40A5F" w:rsidP="00D40A5F">
      <w:pPr>
        <w:rPr>
          <w:rFonts w:ascii="Times" w:hAnsi="Times"/>
          <w:sz w:val="22"/>
          <w:szCs w:val="22"/>
          <w:u w:val="single"/>
        </w:rPr>
      </w:pPr>
      <w:r>
        <w:rPr>
          <w:rFonts w:ascii="Times" w:hAnsi="Times"/>
          <w:sz w:val="22"/>
          <w:szCs w:val="22"/>
          <w:u w:val="single"/>
        </w:rPr>
        <w:t>Outcome – MS-related healthcare visits</w:t>
      </w:r>
    </w:p>
    <w:p w14:paraId="587692E6" w14:textId="5F38FD38" w:rsidR="00D40A5F" w:rsidRPr="00D40A5F" w:rsidRDefault="00D40A5F" w:rsidP="00D40A5F">
      <w:pPr>
        <w:rPr>
          <w:rFonts w:ascii="Times" w:hAnsi="Times"/>
          <w:b/>
          <w:bCs/>
          <w:sz w:val="22"/>
          <w:szCs w:val="22"/>
        </w:rPr>
      </w:pPr>
      <w:r w:rsidRPr="00D40A5F">
        <w:rPr>
          <w:rFonts w:ascii="Times" w:hAnsi="Times"/>
          <w:sz w:val="22"/>
          <w:szCs w:val="22"/>
        </w:rPr>
        <w:t xml:space="preserve">We </w:t>
      </w:r>
      <w:r w:rsidR="00BE0314">
        <w:rPr>
          <w:rFonts w:ascii="Times" w:hAnsi="Times"/>
          <w:sz w:val="22"/>
          <w:szCs w:val="22"/>
        </w:rPr>
        <w:t>will identify</w:t>
      </w:r>
      <w:r w:rsidR="00BE0314" w:rsidRPr="00D40A5F">
        <w:rPr>
          <w:rFonts w:ascii="Times" w:hAnsi="Times"/>
          <w:sz w:val="22"/>
          <w:szCs w:val="22"/>
        </w:rPr>
        <w:t xml:space="preserve"> </w:t>
      </w:r>
      <w:r w:rsidRPr="00D40A5F">
        <w:rPr>
          <w:rFonts w:ascii="Times" w:hAnsi="Times"/>
          <w:sz w:val="22"/>
          <w:szCs w:val="22"/>
        </w:rPr>
        <w:t>MS-related outpatient, emergency department, and inpatient visits using diagnostic code 340 (</w:t>
      </w:r>
      <w:r w:rsidRPr="00D40A5F">
        <w:rPr>
          <w:rFonts w:ascii="Times" w:hAnsi="Times"/>
          <w:i/>
          <w:sz w:val="22"/>
          <w:szCs w:val="22"/>
        </w:rPr>
        <w:t>ICD-9</w:t>
      </w:r>
      <w:r w:rsidRPr="00D40A5F">
        <w:rPr>
          <w:rFonts w:ascii="Times" w:hAnsi="Times"/>
          <w:sz w:val="22"/>
          <w:szCs w:val="22"/>
        </w:rPr>
        <w:t>) and G35 (</w:t>
      </w:r>
      <w:r w:rsidRPr="00D40A5F">
        <w:rPr>
          <w:rFonts w:ascii="Times" w:hAnsi="Times"/>
          <w:i/>
          <w:sz w:val="22"/>
          <w:szCs w:val="22"/>
        </w:rPr>
        <w:t>ICD-10</w:t>
      </w:r>
      <w:r w:rsidRPr="00D40A5F">
        <w:rPr>
          <w:rFonts w:ascii="Times" w:hAnsi="Times"/>
          <w:sz w:val="22"/>
          <w:szCs w:val="22"/>
        </w:rPr>
        <w:t xml:space="preserve">) </w:t>
      </w:r>
      <w:r w:rsidR="00BE0314">
        <w:rPr>
          <w:rFonts w:ascii="Times" w:hAnsi="Times"/>
          <w:sz w:val="22"/>
          <w:szCs w:val="22"/>
        </w:rPr>
        <w:t>in any diagnostic position. We will then</w:t>
      </w:r>
      <w:r w:rsidR="00BE0314" w:rsidRPr="00D40A5F">
        <w:rPr>
          <w:rFonts w:ascii="Times" w:hAnsi="Times"/>
          <w:sz w:val="22"/>
          <w:szCs w:val="22"/>
        </w:rPr>
        <w:t xml:space="preserve"> </w:t>
      </w:r>
      <w:r w:rsidRPr="00D40A5F">
        <w:rPr>
          <w:rFonts w:ascii="Times" w:hAnsi="Times"/>
          <w:sz w:val="22"/>
          <w:szCs w:val="22"/>
        </w:rPr>
        <w:t>create an indicator variable for each visit type that equal</w:t>
      </w:r>
      <w:r w:rsidR="00BE0314">
        <w:rPr>
          <w:rFonts w:ascii="Times" w:hAnsi="Times"/>
          <w:sz w:val="22"/>
          <w:szCs w:val="22"/>
        </w:rPr>
        <w:t>s</w:t>
      </w:r>
      <w:r w:rsidRPr="00D40A5F">
        <w:rPr>
          <w:rFonts w:ascii="Times" w:hAnsi="Times"/>
          <w:sz w:val="22"/>
          <w:szCs w:val="22"/>
        </w:rPr>
        <w:t xml:space="preserve"> one for any month </w:t>
      </w:r>
      <w:r>
        <w:rPr>
          <w:rFonts w:ascii="Times" w:hAnsi="Times"/>
          <w:sz w:val="22"/>
          <w:szCs w:val="22"/>
        </w:rPr>
        <w:t>with</w:t>
      </w:r>
      <w:r w:rsidRPr="00D40A5F">
        <w:rPr>
          <w:rFonts w:ascii="Times" w:hAnsi="Times"/>
          <w:sz w:val="22"/>
          <w:szCs w:val="22"/>
        </w:rPr>
        <w:t xml:space="preserve"> at least one MS-related outpatient, emergency, or inpatient visit – respectively – and </w:t>
      </w:r>
      <w:r w:rsidR="007C63C2" w:rsidRPr="00D40A5F">
        <w:rPr>
          <w:rFonts w:ascii="Times" w:hAnsi="Times"/>
          <w:sz w:val="22"/>
          <w:szCs w:val="22"/>
        </w:rPr>
        <w:t>equal</w:t>
      </w:r>
      <w:r w:rsidR="007C63C2">
        <w:rPr>
          <w:rFonts w:ascii="Times" w:hAnsi="Times"/>
          <w:sz w:val="22"/>
          <w:szCs w:val="22"/>
        </w:rPr>
        <w:t>s</w:t>
      </w:r>
      <w:r w:rsidR="007C63C2" w:rsidRPr="00D40A5F">
        <w:rPr>
          <w:rFonts w:ascii="Times" w:hAnsi="Times"/>
          <w:sz w:val="22"/>
          <w:szCs w:val="22"/>
        </w:rPr>
        <w:t xml:space="preserve"> </w:t>
      </w:r>
      <w:r w:rsidRPr="00D40A5F">
        <w:rPr>
          <w:rFonts w:ascii="Times" w:hAnsi="Times"/>
          <w:sz w:val="22"/>
          <w:szCs w:val="22"/>
        </w:rPr>
        <w:t xml:space="preserve">zero otherwise. We </w:t>
      </w:r>
      <w:r w:rsidR="007C63C2">
        <w:rPr>
          <w:rFonts w:ascii="Times" w:hAnsi="Times"/>
          <w:sz w:val="22"/>
          <w:szCs w:val="22"/>
        </w:rPr>
        <w:t>will create</w:t>
      </w:r>
      <w:r w:rsidR="007C63C2" w:rsidRPr="00D40A5F">
        <w:rPr>
          <w:rFonts w:ascii="Times" w:hAnsi="Times"/>
          <w:sz w:val="22"/>
          <w:szCs w:val="22"/>
        </w:rPr>
        <w:t xml:space="preserve"> </w:t>
      </w:r>
      <w:r w:rsidRPr="00D40A5F">
        <w:rPr>
          <w:rFonts w:ascii="Times" w:hAnsi="Times"/>
          <w:sz w:val="22"/>
          <w:szCs w:val="22"/>
        </w:rPr>
        <w:t>an indicator variable for visits unrelate</w:t>
      </w:r>
      <w:r w:rsidRPr="00BE0314">
        <w:rPr>
          <w:rFonts w:ascii="Times" w:hAnsi="Times"/>
          <w:sz w:val="22"/>
          <w:szCs w:val="22"/>
        </w:rPr>
        <w:t>d</w:t>
      </w:r>
      <w:r w:rsidRPr="00D40A5F">
        <w:rPr>
          <w:rFonts w:ascii="Times" w:hAnsi="Times"/>
          <w:sz w:val="22"/>
          <w:szCs w:val="22"/>
        </w:rPr>
        <w:t xml:space="preserve"> to MS which equal</w:t>
      </w:r>
      <w:r w:rsidR="007C63C2">
        <w:rPr>
          <w:rFonts w:ascii="Times" w:hAnsi="Times"/>
          <w:sz w:val="22"/>
          <w:szCs w:val="22"/>
        </w:rPr>
        <w:t>s</w:t>
      </w:r>
      <w:r w:rsidRPr="00D40A5F">
        <w:rPr>
          <w:rFonts w:ascii="Times" w:hAnsi="Times"/>
          <w:sz w:val="22"/>
          <w:szCs w:val="22"/>
        </w:rPr>
        <w:t xml:space="preserve"> one for outpatient, emergency, or inpatient visit in which the diagnostic codes 340 and G35 </w:t>
      </w:r>
      <w:proofErr w:type="spellStart"/>
      <w:r w:rsidR="007C63C2">
        <w:rPr>
          <w:rFonts w:ascii="Times" w:hAnsi="Times"/>
          <w:sz w:val="22"/>
          <w:szCs w:val="22"/>
        </w:rPr>
        <w:t>are</w:t>
      </w:r>
      <w:r w:rsidRPr="00D40A5F">
        <w:rPr>
          <w:rFonts w:ascii="Times" w:hAnsi="Times"/>
          <w:sz w:val="22"/>
          <w:szCs w:val="22"/>
        </w:rPr>
        <w:t>absent</w:t>
      </w:r>
      <w:proofErr w:type="spellEnd"/>
      <w:r w:rsidR="000B248C">
        <w:rPr>
          <w:rFonts w:ascii="Times" w:hAnsi="Times"/>
          <w:sz w:val="22"/>
          <w:szCs w:val="22"/>
        </w:rPr>
        <w:t xml:space="preserve"> and zero otherwise</w:t>
      </w:r>
      <w:r w:rsidRPr="00D40A5F">
        <w:rPr>
          <w:rFonts w:ascii="Times" w:hAnsi="Times"/>
          <w:sz w:val="22"/>
          <w:szCs w:val="22"/>
        </w:rPr>
        <w:t>.</w:t>
      </w:r>
    </w:p>
    <w:p w14:paraId="07FACAF5" w14:textId="40F12EC0" w:rsidR="00D40A5F" w:rsidRDefault="00D40A5F" w:rsidP="00D40A5F">
      <w:pPr>
        <w:rPr>
          <w:rFonts w:ascii="Times" w:hAnsi="Times"/>
          <w:sz w:val="22"/>
          <w:szCs w:val="22"/>
          <w:u w:val="single"/>
        </w:rPr>
      </w:pPr>
    </w:p>
    <w:p w14:paraId="01FC1864" w14:textId="77777777" w:rsidR="00D40A5F" w:rsidRDefault="00D40A5F" w:rsidP="00D40A5F">
      <w:pPr>
        <w:rPr>
          <w:rFonts w:ascii="Times" w:eastAsia="Times" w:hAnsi="Times" w:cs="Times"/>
          <w:i/>
          <w:iCs/>
          <w:sz w:val="22"/>
          <w:szCs w:val="22"/>
        </w:rPr>
      </w:pPr>
      <w:r>
        <w:rPr>
          <w:rFonts w:ascii="Times" w:eastAsia="Times" w:hAnsi="Times" w:cs="Times"/>
          <w:i/>
          <w:iCs/>
          <w:sz w:val="22"/>
          <w:szCs w:val="22"/>
        </w:rPr>
        <w:t>Modifications carried out during peer review</w:t>
      </w:r>
    </w:p>
    <w:p w14:paraId="229675A3" w14:textId="3D93F967" w:rsidR="00D40A5F" w:rsidRDefault="00D40A5F" w:rsidP="00D40A5F">
      <w:p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 xml:space="preserve">We modified our outcome definition to </w:t>
      </w:r>
      <w:r w:rsidR="000B248C">
        <w:rPr>
          <w:rFonts w:ascii="Times" w:hAnsi="Times"/>
          <w:sz w:val="22"/>
          <w:szCs w:val="22"/>
        </w:rPr>
        <w:t>include only</w:t>
      </w:r>
      <w:r>
        <w:rPr>
          <w:rFonts w:ascii="Times" w:hAnsi="Times"/>
          <w:sz w:val="22"/>
          <w:szCs w:val="22"/>
        </w:rPr>
        <w:t xml:space="preserve"> MS-related healthcare visits to only the first, second, and third diagnostic position. </w:t>
      </w:r>
    </w:p>
    <w:p w14:paraId="6137165C" w14:textId="1961A216" w:rsidR="00D40A5F" w:rsidRDefault="00D40A5F" w:rsidP="00D40A5F">
      <w:pPr>
        <w:rPr>
          <w:rFonts w:ascii="Times" w:hAnsi="Times"/>
          <w:sz w:val="22"/>
          <w:szCs w:val="22"/>
        </w:rPr>
      </w:pPr>
    </w:p>
    <w:p w14:paraId="6C66C6FE" w14:textId="1B17293B" w:rsidR="00D40A5F" w:rsidRDefault="00D40A5F" w:rsidP="00D40A5F">
      <w:pPr>
        <w:rPr>
          <w:rFonts w:ascii="Times" w:hAnsi="Times"/>
          <w:sz w:val="22"/>
          <w:szCs w:val="22"/>
          <w:u w:val="single"/>
        </w:rPr>
      </w:pPr>
      <w:r>
        <w:rPr>
          <w:rFonts w:ascii="Times" w:hAnsi="Times"/>
          <w:sz w:val="22"/>
          <w:szCs w:val="22"/>
          <w:u w:val="single"/>
        </w:rPr>
        <w:t>Covariates</w:t>
      </w:r>
    </w:p>
    <w:p w14:paraId="62956B69" w14:textId="4D405015" w:rsidR="00D40A5F" w:rsidRDefault="00D40A5F" w:rsidP="00D40A5F">
      <w:pPr>
        <w:rPr>
          <w:rFonts w:ascii="Times" w:eastAsia="Times" w:hAnsi="Times" w:cs="Times"/>
          <w:sz w:val="22"/>
          <w:szCs w:val="22"/>
        </w:rPr>
      </w:pPr>
      <w:r>
        <w:rPr>
          <w:rFonts w:ascii="Times" w:hAnsi="Times"/>
          <w:sz w:val="22"/>
          <w:szCs w:val="22"/>
        </w:rPr>
        <w:t xml:space="preserve">We </w:t>
      </w:r>
      <w:r w:rsidR="007C63C2">
        <w:rPr>
          <w:rFonts w:ascii="Times" w:hAnsi="Times"/>
          <w:sz w:val="22"/>
          <w:szCs w:val="22"/>
        </w:rPr>
        <w:t xml:space="preserve">will define </w:t>
      </w:r>
      <w:r>
        <w:rPr>
          <w:rFonts w:ascii="Times" w:hAnsi="Times"/>
          <w:sz w:val="22"/>
          <w:szCs w:val="22"/>
        </w:rPr>
        <w:t>sex (</w:t>
      </w:r>
      <w:r w:rsidR="007C63C2">
        <w:rPr>
          <w:rFonts w:ascii="Times" w:hAnsi="Times"/>
          <w:sz w:val="22"/>
          <w:szCs w:val="22"/>
        </w:rPr>
        <w:t>women, men</w:t>
      </w:r>
      <w:r>
        <w:rPr>
          <w:rFonts w:ascii="Times" w:hAnsi="Times"/>
          <w:sz w:val="22"/>
          <w:szCs w:val="22"/>
        </w:rPr>
        <w:t xml:space="preserve">), categorical age </w:t>
      </w:r>
      <w:r>
        <w:rPr>
          <w:rFonts w:ascii="Times" w:eastAsia="Times" w:hAnsi="Times" w:cs="Times"/>
          <w:sz w:val="22"/>
          <w:szCs w:val="22"/>
        </w:rPr>
        <w:t xml:space="preserve">(18–25, 26–35; 36–45; 46–55, 56–64 years), and calendar year using eligibility files. We </w:t>
      </w:r>
      <w:r w:rsidR="007C63C2">
        <w:rPr>
          <w:rFonts w:ascii="Times" w:eastAsia="Times" w:hAnsi="Times" w:cs="Times"/>
          <w:sz w:val="22"/>
          <w:szCs w:val="22"/>
        </w:rPr>
        <w:t xml:space="preserve">will define </w:t>
      </w:r>
      <w:r>
        <w:rPr>
          <w:rFonts w:ascii="Times" w:eastAsia="Times" w:hAnsi="Times" w:cs="Times"/>
          <w:sz w:val="22"/>
          <w:szCs w:val="22"/>
        </w:rPr>
        <w:t>time-varying county, state, and region of residence using five-digit zip codes and season for each respondent.</w:t>
      </w:r>
    </w:p>
    <w:p w14:paraId="2910435F" w14:textId="6FF565A1" w:rsidR="00D40A5F" w:rsidRDefault="00D40A5F" w:rsidP="00D40A5F">
      <w:pPr>
        <w:rPr>
          <w:rFonts w:ascii="Times" w:eastAsia="Times" w:hAnsi="Times" w:cs="Times"/>
          <w:sz w:val="22"/>
          <w:szCs w:val="22"/>
        </w:rPr>
      </w:pPr>
    </w:p>
    <w:p w14:paraId="6A31C18F" w14:textId="11DB6D68" w:rsidR="00D40A5F" w:rsidRDefault="00D40A5F" w:rsidP="00D40A5F">
      <w:pPr>
        <w:rPr>
          <w:rFonts w:ascii="Times" w:eastAsia="Times" w:hAnsi="Times" w:cs="Times"/>
          <w:i/>
          <w:iCs/>
          <w:sz w:val="22"/>
          <w:szCs w:val="22"/>
        </w:rPr>
      </w:pPr>
      <w:r>
        <w:rPr>
          <w:rFonts w:ascii="Times" w:eastAsia="Times" w:hAnsi="Times" w:cs="Times"/>
          <w:i/>
          <w:iCs/>
          <w:sz w:val="22"/>
          <w:szCs w:val="22"/>
        </w:rPr>
        <w:t>Modifications carried out during peer review</w:t>
      </w:r>
    </w:p>
    <w:p w14:paraId="2A00FC2F" w14:textId="522B4A97" w:rsidR="00D40A5F" w:rsidRDefault="00D40A5F" w:rsidP="00D40A5F">
      <w:pPr>
        <w:rPr>
          <w:rFonts w:ascii="Times" w:eastAsia="Times" w:hAnsi="Times" w:cs="Times"/>
          <w:sz w:val="22"/>
          <w:szCs w:val="22"/>
        </w:rPr>
      </w:pPr>
      <w:r>
        <w:rPr>
          <w:rFonts w:ascii="Times" w:eastAsia="Times" w:hAnsi="Times" w:cs="Times"/>
          <w:sz w:val="22"/>
          <w:szCs w:val="22"/>
        </w:rPr>
        <w:t xml:space="preserve">In response to requests from reviewers, we defined age as a continuous rather than categorical variable in the analyses described below, and assigned climate zones based on county of residence using data from the </w:t>
      </w:r>
      <w:r w:rsidR="00DF17AC">
        <w:rPr>
          <w:rFonts w:ascii="Times" w:eastAsia="Times" w:hAnsi="Times" w:cs="Times"/>
          <w:sz w:val="22"/>
          <w:szCs w:val="22"/>
        </w:rPr>
        <w:t>U.S. Department of Energy.</w:t>
      </w:r>
      <w:r w:rsidR="00DF17AC">
        <w:rPr>
          <w:rFonts w:ascii="Times" w:eastAsia="Times" w:hAnsi="Times" w:cs="Times"/>
          <w:sz w:val="22"/>
          <w:szCs w:val="22"/>
        </w:rPr>
        <w:fldChar w:fldCharType="begin"/>
      </w:r>
      <w:r w:rsidR="0069140B">
        <w:rPr>
          <w:rFonts w:ascii="Times" w:eastAsia="Times" w:hAnsi="Times" w:cs="Times"/>
          <w:sz w:val="22"/>
          <w:szCs w:val="22"/>
        </w:rPr>
        <w:instrText xml:space="preserve"> ADDIN EN.CITE &lt;EndNote&gt;&lt;Cite&gt;&lt;Author&gt;Baechler&lt;/Author&gt;&lt;Year&gt;2010&lt;/Year&gt;&lt;RecNum&gt;217&lt;/RecNum&gt;&lt;DisplayText&gt;[3]&lt;/DisplayText&gt;&lt;record&gt;&lt;rec-number&gt;217&lt;/rec-number&gt;&lt;foreign-keys&gt;&lt;key app="EN" db-id="pda9d5xd90e9foe5pw3xsds79a5dx5dtvxps" timestamp="1609398141"&gt;217&lt;/key&gt;&lt;/foreign-keys&gt;&lt;ref-type name="Journal Article"&gt;17&lt;/ref-type&gt;&lt;contributors&gt;&lt;authors&gt;&lt;author&gt;Baechler, Michael C&lt;/author&gt;&lt;author&gt;Williamson, Jennifer&lt;/author&gt;&lt;author&gt;Gilbride, Theresa&lt;/author&gt;&lt;author&gt;Cole, Pam&lt;/author&gt;&lt;author&gt;Hefty, Marye&lt;/author&gt;&lt;author&gt;Love, PM&lt;/author&gt;&lt;/authors&gt;&lt;/contributors&gt;&lt;titles&gt;&lt;title&gt;Guide to determining climate regions by county&lt;/title&gt;&lt;secondary-title&gt;Pacific Northwest National Laboratory &amp;amp; Oak Ridge National Laboratory&lt;/secondary-title&gt;&lt;/titles&gt;&lt;periodical&gt;&lt;full-title&gt;Pacific Northwest National Laboratory &amp;amp; Oak Ridge National Laboratory&lt;/full-title&gt;&lt;/periodical&gt;&lt;pages&gt;1-34&lt;/pages&gt;&lt;volume&gt;7&lt;/volume&gt;&lt;dates&gt;&lt;year&gt;2010&lt;/year&gt;&lt;/dates&gt;&lt;urls&gt;&lt;/urls&gt;&lt;/record&gt;&lt;/Cite&gt;&lt;/EndNote&gt;</w:instrText>
      </w:r>
      <w:r w:rsidR="00DF17AC">
        <w:rPr>
          <w:rFonts w:ascii="Times" w:eastAsia="Times" w:hAnsi="Times" w:cs="Times"/>
          <w:sz w:val="22"/>
          <w:szCs w:val="22"/>
        </w:rPr>
        <w:fldChar w:fldCharType="separate"/>
      </w:r>
      <w:r w:rsidR="0069140B">
        <w:rPr>
          <w:rFonts w:ascii="Times" w:eastAsia="Times" w:hAnsi="Times" w:cs="Times"/>
          <w:noProof/>
          <w:sz w:val="22"/>
          <w:szCs w:val="22"/>
        </w:rPr>
        <w:t>[3]</w:t>
      </w:r>
      <w:r w:rsidR="00DF17AC">
        <w:rPr>
          <w:rFonts w:ascii="Times" w:eastAsia="Times" w:hAnsi="Times" w:cs="Times"/>
          <w:sz w:val="22"/>
          <w:szCs w:val="22"/>
        </w:rPr>
        <w:fldChar w:fldCharType="end"/>
      </w:r>
    </w:p>
    <w:p w14:paraId="4691DFCC" w14:textId="65437B29" w:rsidR="00DF17AC" w:rsidRDefault="00DF17AC" w:rsidP="00D40A5F">
      <w:pPr>
        <w:rPr>
          <w:rFonts w:ascii="Times" w:eastAsia="Times" w:hAnsi="Times" w:cs="Times"/>
          <w:sz w:val="22"/>
          <w:szCs w:val="22"/>
        </w:rPr>
      </w:pPr>
    </w:p>
    <w:p w14:paraId="68D8BCDE" w14:textId="7249D550" w:rsidR="00DF17AC" w:rsidRDefault="00DF17AC" w:rsidP="00D40A5F">
      <w:pPr>
        <w:rPr>
          <w:rFonts w:ascii="Times" w:eastAsia="Times" w:hAnsi="Times" w:cs="Times"/>
          <w:sz w:val="22"/>
          <w:szCs w:val="22"/>
          <w:u w:val="single"/>
        </w:rPr>
      </w:pPr>
      <w:r>
        <w:rPr>
          <w:rFonts w:ascii="Times" w:eastAsia="Times" w:hAnsi="Times" w:cs="Times"/>
          <w:sz w:val="22"/>
          <w:szCs w:val="22"/>
          <w:u w:val="single"/>
        </w:rPr>
        <w:t>Statistical Analysis</w:t>
      </w:r>
    </w:p>
    <w:p w14:paraId="5C6DB285" w14:textId="492923C8" w:rsidR="0069140B" w:rsidRDefault="007C63C2" w:rsidP="0069140B">
      <w:pPr>
        <w:rPr>
          <w:rFonts w:ascii="Times" w:eastAsia="Times" w:hAnsi="Times" w:cs="Times"/>
          <w:sz w:val="22"/>
          <w:szCs w:val="22"/>
        </w:rPr>
      </w:pPr>
      <w:r>
        <w:rPr>
          <w:rFonts w:ascii="Times" w:eastAsia="Times" w:hAnsi="Times" w:cs="Times"/>
          <w:sz w:val="22"/>
          <w:szCs w:val="22"/>
        </w:rPr>
        <w:t>We will conduct an</w:t>
      </w:r>
      <w:r w:rsidR="00DF17AC">
        <w:rPr>
          <w:rFonts w:ascii="Times" w:eastAsia="Times" w:hAnsi="Times" w:cs="Times"/>
          <w:sz w:val="22"/>
          <w:szCs w:val="22"/>
        </w:rPr>
        <w:t xml:space="preserve"> individual-level, repeated measures analysis.</w:t>
      </w:r>
      <w:r w:rsidR="003D65DA">
        <w:rPr>
          <w:rFonts w:ascii="Times" w:eastAsia="Times" w:hAnsi="Times" w:cs="Times"/>
          <w:sz w:val="22"/>
          <w:szCs w:val="22"/>
        </w:rPr>
        <w:t xml:space="preserve"> For our primary analysis, we </w:t>
      </w:r>
      <w:r>
        <w:rPr>
          <w:rFonts w:ascii="Times" w:eastAsia="Times" w:hAnsi="Times" w:cs="Times"/>
          <w:sz w:val="22"/>
          <w:szCs w:val="22"/>
        </w:rPr>
        <w:t xml:space="preserve">will use </w:t>
      </w:r>
      <w:r w:rsidR="003D65DA">
        <w:rPr>
          <w:rFonts w:ascii="Times" w:eastAsia="Times" w:hAnsi="Times" w:cs="Times"/>
          <w:sz w:val="22"/>
          <w:szCs w:val="22"/>
        </w:rPr>
        <w:t xml:space="preserve">generalized linear models with the binomial family and log link to estimate risk ratios (RR) for the association between anomalously warm weather and MS-related outpatient, emergency department, and inpatient visits, respectively. We </w:t>
      </w:r>
      <w:r>
        <w:rPr>
          <w:rFonts w:ascii="Times" w:eastAsia="Times" w:hAnsi="Times" w:cs="Times"/>
          <w:sz w:val="22"/>
          <w:szCs w:val="22"/>
        </w:rPr>
        <w:t xml:space="preserve">will adjust </w:t>
      </w:r>
      <w:r w:rsidR="003D65DA">
        <w:rPr>
          <w:rFonts w:ascii="Times" w:eastAsia="Times" w:hAnsi="Times" w:cs="Times"/>
          <w:sz w:val="22"/>
          <w:szCs w:val="22"/>
        </w:rPr>
        <w:t xml:space="preserve">for </w:t>
      </w:r>
      <w:r w:rsidR="003D65DA">
        <w:rPr>
          <w:rFonts w:ascii="Times" w:eastAsia="Times" w:hAnsi="Times" w:cs="Times"/>
          <w:i/>
          <w:iCs/>
          <w:sz w:val="22"/>
          <w:szCs w:val="22"/>
        </w:rPr>
        <w:t xml:space="preserve">a priori </w:t>
      </w:r>
      <w:r w:rsidR="003D65DA">
        <w:rPr>
          <w:rFonts w:ascii="Times" w:eastAsia="Times" w:hAnsi="Times" w:cs="Times"/>
          <w:sz w:val="22"/>
          <w:szCs w:val="22"/>
        </w:rPr>
        <w:t xml:space="preserve">specified covariates that could potentially confound the association of interest. These include sex, categorical age, and fixed effects for state and calendar year. For all analyses, we </w:t>
      </w:r>
      <w:r>
        <w:rPr>
          <w:rFonts w:ascii="Times" w:eastAsia="Times" w:hAnsi="Times" w:cs="Times"/>
          <w:sz w:val="22"/>
          <w:szCs w:val="22"/>
        </w:rPr>
        <w:t xml:space="preserve">will </w:t>
      </w:r>
      <w:r w:rsidR="003D65DA" w:rsidRPr="003D65DA">
        <w:rPr>
          <w:rFonts w:ascii="Times" w:eastAsia="Times" w:hAnsi="Times" w:cs="Times"/>
          <w:sz w:val="22"/>
          <w:szCs w:val="22"/>
        </w:rPr>
        <w:t>calculate robust standard errors to account for repeated measures within individuals and potential non-independence of outcomes within counties.</w:t>
      </w:r>
      <w:r w:rsidR="0069140B">
        <w:rPr>
          <w:rFonts w:ascii="Times" w:eastAsia="Times" w:hAnsi="Times" w:cs="Times"/>
          <w:sz w:val="22"/>
          <w:szCs w:val="22"/>
        </w:rPr>
        <w:t xml:space="preserve"> </w:t>
      </w:r>
      <w:r>
        <w:rPr>
          <w:rFonts w:ascii="Times" w:eastAsia="Times" w:hAnsi="Times" w:cs="Times"/>
          <w:sz w:val="22"/>
          <w:szCs w:val="22"/>
        </w:rPr>
        <w:t>W</w:t>
      </w:r>
      <w:r w:rsidR="0069140B">
        <w:rPr>
          <w:rFonts w:ascii="Times" w:eastAsia="Times" w:hAnsi="Times" w:cs="Times"/>
          <w:sz w:val="22"/>
          <w:szCs w:val="22"/>
        </w:rPr>
        <w:t xml:space="preserve">e </w:t>
      </w:r>
      <w:r>
        <w:rPr>
          <w:rFonts w:ascii="Times" w:eastAsia="Times" w:hAnsi="Times" w:cs="Times"/>
          <w:sz w:val="22"/>
          <w:szCs w:val="22"/>
        </w:rPr>
        <w:t xml:space="preserve">will use </w:t>
      </w:r>
      <w:r w:rsidR="0069140B">
        <w:rPr>
          <w:rFonts w:ascii="Times" w:eastAsia="Times" w:hAnsi="Times" w:cs="Times"/>
          <w:sz w:val="22"/>
          <w:szCs w:val="22"/>
        </w:rPr>
        <w:t xml:space="preserve">fitted models to estimate associations on the additive scale. </w:t>
      </w:r>
      <w:r w:rsidR="0069140B" w:rsidRPr="00E81240">
        <w:rPr>
          <w:rFonts w:ascii="Times" w:eastAsia="Times" w:hAnsi="Times" w:cs="Times"/>
          <w:sz w:val="22"/>
          <w:szCs w:val="22"/>
        </w:rPr>
        <w:t xml:space="preserve">Because of </w:t>
      </w:r>
      <w:sdt>
        <w:sdtPr>
          <w:rPr>
            <w:sz w:val="22"/>
            <w:szCs w:val="22"/>
          </w:rPr>
          <w:tag w:val="goog_rdk_31"/>
          <w:id w:val="-2055300568"/>
        </w:sdtPr>
        <w:sdtEndPr/>
        <w:sdtContent>
          <w:r w:rsidR="0069140B" w:rsidRPr="00E81240">
            <w:rPr>
              <w:rFonts w:ascii="Times" w:eastAsia="Times" w:hAnsi="Times" w:cs="Times"/>
              <w:sz w:val="22"/>
              <w:szCs w:val="22"/>
            </w:rPr>
            <w:t>sex</w:t>
          </w:r>
        </w:sdtContent>
      </w:sdt>
      <w:r w:rsidR="0069140B" w:rsidRPr="00E81240">
        <w:rPr>
          <w:rFonts w:ascii="Times" w:eastAsia="Times" w:hAnsi="Times" w:cs="Times"/>
          <w:sz w:val="22"/>
          <w:szCs w:val="22"/>
        </w:rPr>
        <w:t xml:space="preserve"> differences in MS incidence, response to treatment, and healthcare utilization,</w:t>
      </w:r>
      <w:r w:rsidR="0069140B" w:rsidRPr="00E81240">
        <w:rPr>
          <w:rFonts w:ascii="Times" w:eastAsia="Times" w:hAnsi="Times" w:cs="Times"/>
          <w:sz w:val="22"/>
          <w:szCs w:val="22"/>
        </w:rPr>
        <w:fldChar w:fldCharType="begin">
          <w:fldData xml:space="preserve">PEVuZE5vdGU+PENpdGU+PEF1dGhvcj5Lb2NoLUhlbnJpa3NlbjwvQXV0aG9yPjxZZWFyPjIwMTg8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</w:fldData>
        </w:fldChar>
      </w:r>
      <w:r w:rsidR="0069140B">
        <w:rPr>
          <w:rFonts w:ascii="Times" w:eastAsia="Times" w:hAnsi="Times" w:cs="Times"/>
          <w:sz w:val="22"/>
          <w:szCs w:val="22"/>
        </w:rPr>
        <w:instrText xml:space="preserve"> ADDIN EN.CITE </w:instrText>
      </w:r>
      <w:r w:rsidR="0069140B">
        <w:rPr>
          <w:rFonts w:ascii="Times" w:eastAsia="Times" w:hAnsi="Times" w:cs="Times"/>
          <w:sz w:val="22"/>
          <w:szCs w:val="22"/>
        </w:rPr>
        <w:fldChar w:fldCharType="begin">
          <w:fldData xml:space="preserve">PEVuZE5vdGU+PENpdGU+PEF1dGhvcj5Lb2NoLUhlbnJpa3NlbjwvQXV0aG9yPjxZZWFyPjIwMTg8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</w:fldData>
        </w:fldChar>
      </w:r>
      <w:r w:rsidR="0069140B">
        <w:rPr>
          <w:rFonts w:ascii="Times" w:eastAsia="Times" w:hAnsi="Times" w:cs="Times"/>
          <w:sz w:val="22"/>
          <w:szCs w:val="22"/>
        </w:rPr>
        <w:instrText xml:space="preserve"> ADDIN EN.CITE.DATA </w:instrText>
      </w:r>
      <w:r w:rsidR="0069140B">
        <w:rPr>
          <w:rFonts w:ascii="Times" w:eastAsia="Times" w:hAnsi="Times" w:cs="Times"/>
          <w:sz w:val="22"/>
          <w:szCs w:val="22"/>
        </w:rPr>
      </w:r>
      <w:r w:rsidR="0069140B">
        <w:rPr>
          <w:rFonts w:ascii="Times" w:eastAsia="Times" w:hAnsi="Times" w:cs="Times"/>
          <w:sz w:val="22"/>
          <w:szCs w:val="22"/>
        </w:rPr>
        <w:fldChar w:fldCharType="end"/>
      </w:r>
      <w:r w:rsidR="0069140B" w:rsidRPr="00E81240">
        <w:rPr>
          <w:rFonts w:ascii="Times" w:eastAsia="Times" w:hAnsi="Times" w:cs="Times"/>
          <w:sz w:val="22"/>
          <w:szCs w:val="22"/>
        </w:rPr>
      </w:r>
      <w:r w:rsidR="0069140B" w:rsidRPr="00E81240">
        <w:rPr>
          <w:rFonts w:ascii="Times" w:eastAsia="Times" w:hAnsi="Times" w:cs="Times"/>
          <w:sz w:val="22"/>
          <w:szCs w:val="22"/>
        </w:rPr>
        <w:fldChar w:fldCharType="separate"/>
      </w:r>
      <w:r w:rsidR="0069140B">
        <w:rPr>
          <w:rFonts w:ascii="Times" w:eastAsia="Times" w:hAnsi="Times" w:cs="Times"/>
          <w:noProof/>
          <w:sz w:val="22"/>
          <w:szCs w:val="22"/>
        </w:rPr>
        <w:t>[4-8]</w:t>
      </w:r>
      <w:r w:rsidR="0069140B" w:rsidRPr="00E81240">
        <w:rPr>
          <w:rFonts w:ascii="Times" w:eastAsia="Times" w:hAnsi="Times" w:cs="Times"/>
          <w:sz w:val="22"/>
          <w:szCs w:val="22"/>
        </w:rPr>
        <w:fldChar w:fldCharType="end"/>
      </w:r>
      <w:r w:rsidR="0069140B" w:rsidRPr="00E81240">
        <w:rPr>
          <w:rFonts w:ascii="Times" w:eastAsia="Times" w:hAnsi="Times" w:cs="Times"/>
          <w:sz w:val="22"/>
          <w:szCs w:val="22"/>
        </w:rPr>
        <w:t xml:space="preserve"> we repeated our primary analyses </w:t>
      </w:r>
      <w:r w:rsidR="000B248C">
        <w:rPr>
          <w:rFonts w:ascii="Times" w:eastAsia="Times" w:hAnsi="Times" w:cs="Times"/>
          <w:sz w:val="22"/>
          <w:szCs w:val="22"/>
        </w:rPr>
        <w:t xml:space="preserve">stratified </w:t>
      </w:r>
      <w:r w:rsidR="0069140B">
        <w:rPr>
          <w:rFonts w:ascii="Times" w:eastAsia="Times" w:hAnsi="Times" w:cs="Times"/>
          <w:sz w:val="22"/>
          <w:szCs w:val="22"/>
        </w:rPr>
        <w:t xml:space="preserve">by sex. </w:t>
      </w:r>
    </w:p>
    <w:p w14:paraId="276D82F4" w14:textId="3DE82CB2" w:rsidR="0069140B" w:rsidRDefault="0069140B" w:rsidP="0069140B">
      <w:pPr>
        <w:rPr>
          <w:rFonts w:ascii="Times" w:eastAsia="Times" w:hAnsi="Times" w:cs="Times"/>
          <w:sz w:val="22"/>
          <w:szCs w:val="22"/>
        </w:rPr>
      </w:pPr>
    </w:p>
    <w:p w14:paraId="74B8E26E" w14:textId="04366A12" w:rsidR="001B15C3" w:rsidRDefault="001B15C3" w:rsidP="001B15C3">
      <w:pPr>
        <w:rPr>
          <w:rFonts w:ascii="Times" w:eastAsia="Times" w:hAnsi="Times" w:cs="Times"/>
          <w:sz w:val="22"/>
          <w:szCs w:val="22"/>
        </w:rPr>
      </w:pPr>
      <w:r>
        <w:rPr>
          <w:rFonts w:ascii="Times" w:eastAsia="Times" w:hAnsi="Times" w:cs="Times"/>
          <w:sz w:val="22"/>
          <w:szCs w:val="22"/>
        </w:rPr>
        <w:t xml:space="preserve">Secondary analyses </w:t>
      </w:r>
      <w:r w:rsidR="007C63C2">
        <w:rPr>
          <w:rFonts w:ascii="Times" w:eastAsia="Times" w:hAnsi="Times" w:cs="Times"/>
          <w:sz w:val="22"/>
          <w:szCs w:val="22"/>
        </w:rPr>
        <w:t xml:space="preserve">will be </w:t>
      </w:r>
      <w:r>
        <w:rPr>
          <w:rFonts w:ascii="Times" w:eastAsia="Times" w:hAnsi="Times" w:cs="Times"/>
          <w:sz w:val="22"/>
          <w:szCs w:val="22"/>
        </w:rPr>
        <w:t>conducted within subgroups</w:t>
      </w:r>
      <w:r w:rsidR="0069140B">
        <w:rPr>
          <w:rFonts w:ascii="Times" w:eastAsia="Times" w:hAnsi="Times" w:cs="Times"/>
          <w:sz w:val="22"/>
          <w:szCs w:val="22"/>
        </w:rPr>
        <w:t xml:space="preserve"> defined by age category, region, season, and by region within season. We </w:t>
      </w:r>
      <w:r w:rsidR="007C63C2">
        <w:rPr>
          <w:rFonts w:ascii="Times" w:eastAsia="Times" w:hAnsi="Times" w:cs="Times"/>
          <w:sz w:val="22"/>
          <w:szCs w:val="22"/>
        </w:rPr>
        <w:t xml:space="preserve">will </w:t>
      </w:r>
      <w:r w:rsidR="0069140B">
        <w:rPr>
          <w:rFonts w:ascii="Times" w:eastAsia="Times" w:hAnsi="Times" w:cs="Times"/>
          <w:sz w:val="22"/>
          <w:szCs w:val="22"/>
        </w:rPr>
        <w:t>also examine the association between anomalously cool weather and MS-related healthcare visits</w:t>
      </w:r>
      <w:r>
        <w:rPr>
          <w:rFonts w:ascii="Times" w:eastAsia="Times" w:hAnsi="Times" w:cs="Times"/>
          <w:sz w:val="22"/>
          <w:szCs w:val="22"/>
        </w:rPr>
        <w:t>.</w:t>
      </w:r>
      <w:r w:rsidR="0069140B">
        <w:rPr>
          <w:rFonts w:ascii="Times" w:eastAsia="Times" w:hAnsi="Times" w:cs="Times"/>
          <w:sz w:val="22"/>
          <w:szCs w:val="22"/>
        </w:rPr>
        <w:t xml:space="preserve"> </w:t>
      </w:r>
      <w:r>
        <w:rPr>
          <w:rFonts w:ascii="Times" w:eastAsia="Times" w:hAnsi="Times" w:cs="Times"/>
          <w:sz w:val="22"/>
          <w:szCs w:val="22"/>
        </w:rPr>
        <w:t xml:space="preserve">Sensitivity analyses </w:t>
      </w:r>
      <w:r w:rsidR="007C63C2">
        <w:rPr>
          <w:rFonts w:ascii="Times" w:eastAsia="Times" w:hAnsi="Times" w:cs="Times"/>
          <w:sz w:val="22"/>
          <w:szCs w:val="22"/>
        </w:rPr>
        <w:t xml:space="preserve">will </w:t>
      </w:r>
      <w:r>
        <w:rPr>
          <w:rFonts w:ascii="Times" w:eastAsia="Times" w:hAnsi="Times" w:cs="Times"/>
          <w:sz w:val="22"/>
          <w:szCs w:val="22"/>
        </w:rPr>
        <w:t xml:space="preserve">include an examination of the association between the continuous difference between monthly average and long-term average temperatures and MS-related healthcare visits; the association between average monthly temperature and MS-related healthcare visits; and an analysis using alternative thresholds to define anomalies (0.5, 1.0, 2.0˚C).  </w:t>
      </w:r>
    </w:p>
    <w:p w14:paraId="1E1A8190" w14:textId="59600D68" w:rsidR="001B15C3" w:rsidRPr="000A32A5" w:rsidRDefault="001B15C3" w:rsidP="0069140B">
      <w:pPr>
        <w:rPr>
          <w:rFonts w:ascii="Times" w:eastAsia="Times" w:hAnsi="Times" w:cs="Times"/>
          <w:sz w:val="22"/>
          <w:szCs w:val="22"/>
        </w:rPr>
      </w:pPr>
    </w:p>
    <w:p w14:paraId="1CE56EB5" w14:textId="73EA7616" w:rsidR="003D65DA" w:rsidRDefault="000A32A5" w:rsidP="00D40A5F">
      <w:pPr>
        <w:rPr>
          <w:rFonts w:ascii="Times" w:hAnsi="Times"/>
          <w:sz w:val="22"/>
          <w:szCs w:val="22"/>
        </w:rPr>
      </w:pPr>
      <w:r w:rsidRPr="000A32A5">
        <w:rPr>
          <w:rFonts w:ascii="Times" w:hAnsi="Times"/>
          <w:sz w:val="22"/>
          <w:szCs w:val="22"/>
        </w:rPr>
        <w:lastRenderedPageBreak/>
        <w:t xml:space="preserve">All statistical analyses were performed with R version 3.2.3 (R Foundation for Statistical Computing, Vienna, Austria). </w:t>
      </w:r>
    </w:p>
    <w:p w14:paraId="04C119A4" w14:textId="77777777" w:rsidR="007C63C2" w:rsidRDefault="007C63C2" w:rsidP="00D40A5F">
      <w:pPr>
        <w:rPr>
          <w:rFonts w:ascii="Times" w:eastAsia="Times" w:hAnsi="Times" w:cs="Times"/>
          <w:sz w:val="22"/>
          <w:szCs w:val="22"/>
        </w:rPr>
      </w:pPr>
    </w:p>
    <w:p w14:paraId="37A96927" w14:textId="77777777" w:rsidR="003D65DA" w:rsidRDefault="003D65DA" w:rsidP="003D65DA">
      <w:pPr>
        <w:rPr>
          <w:rFonts w:ascii="Times" w:eastAsia="Times" w:hAnsi="Times" w:cs="Times"/>
          <w:i/>
          <w:iCs/>
          <w:sz w:val="22"/>
          <w:szCs w:val="22"/>
        </w:rPr>
      </w:pPr>
      <w:r>
        <w:rPr>
          <w:rFonts w:ascii="Times" w:eastAsia="Times" w:hAnsi="Times" w:cs="Times"/>
          <w:i/>
          <w:iCs/>
          <w:sz w:val="22"/>
          <w:szCs w:val="22"/>
        </w:rPr>
        <w:t>Modifications carried out during peer review</w:t>
      </w:r>
    </w:p>
    <w:p w14:paraId="06A30953" w14:textId="1EF69103" w:rsidR="003D65DA" w:rsidRDefault="003D65DA" w:rsidP="00D40A5F">
      <w:p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We made several revisions to our statistical analyses in response to comments made during peer review, which are detailed below:</w:t>
      </w:r>
    </w:p>
    <w:p w14:paraId="7425EE89" w14:textId="6E3D04CA" w:rsidR="003D65DA" w:rsidRDefault="003D65DA" w:rsidP="00D40A5F">
      <w:pPr>
        <w:rPr>
          <w:rFonts w:ascii="Times" w:hAnsi="Times"/>
          <w:sz w:val="22"/>
          <w:szCs w:val="22"/>
        </w:rPr>
      </w:pPr>
    </w:p>
    <w:p w14:paraId="52B7504F" w14:textId="2A22EF1F" w:rsidR="0069140B" w:rsidRDefault="003D65DA" w:rsidP="000A32A5">
      <w:pPr>
        <w:pStyle w:val="ListParagraph"/>
        <w:numPr>
          <w:ilvl w:val="0"/>
          <w:numId w:val="4"/>
        </w:numPr>
        <w:ind w:left="36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We defined age as continuous with natural splines rather than as a categorical variable</w:t>
      </w:r>
      <w:r w:rsidR="00D72042">
        <w:rPr>
          <w:rFonts w:ascii="Times" w:hAnsi="Times"/>
          <w:sz w:val="22"/>
          <w:szCs w:val="22"/>
        </w:rPr>
        <w:t xml:space="preserve"> in all models.</w:t>
      </w:r>
    </w:p>
    <w:p w14:paraId="1ADE8126" w14:textId="77777777" w:rsidR="00F23859" w:rsidRDefault="00F23859" w:rsidP="000A32A5">
      <w:pPr>
        <w:pStyle w:val="ListParagraph"/>
        <w:numPr>
          <w:ilvl w:val="0"/>
          <w:numId w:val="4"/>
        </w:numPr>
        <w:ind w:left="36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Secondary analyses</w:t>
      </w:r>
    </w:p>
    <w:p w14:paraId="161D3576" w14:textId="4A0AD59C" w:rsidR="0069140B" w:rsidRDefault="0069140B" w:rsidP="00BE0314">
      <w:pPr>
        <w:pStyle w:val="ListParagraph"/>
        <w:numPr>
          <w:ilvl w:val="1"/>
          <w:numId w:val="4"/>
        </w:numPr>
        <w:ind w:left="72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 xml:space="preserve">We included </w:t>
      </w:r>
      <w:r w:rsidR="00D72042">
        <w:rPr>
          <w:rFonts w:ascii="Times" w:hAnsi="Times"/>
          <w:sz w:val="22"/>
          <w:szCs w:val="22"/>
        </w:rPr>
        <w:t>a</w:t>
      </w:r>
      <w:r>
        <w:rPr>
          <w:rFonts w:ascii="Times" w:hAnsi="Times"/>
          <w:sz w:val="22"/>
          <w:szCs w:val="22"/>
        </w:rPr>
        <w:t xml:space="preserve"> subgroup</w:t>
      </w:r>
      <w:r w:rsidR="00D72042">
        <w:rPr>
          <w:rFonts w:ascii="Times" w:hAnsi="Times"/>
          <w:sz w:val="22"/>
          <w:szCs w:val="22"/>
        </w:rPr>
        <w:t xml:space="preserve"> analysis by climate zone.</w:t>
      </w:r>
    </w:p>
    <w:p w14:paraId="62339A74" w14:textId="77777777" w:rsidR="00F23859" w:rsidRDefault="00F23859" w:rsidP="000A32A5">
      <w:pPr>
        <w:pStyle w:val="ListParagraph"/>
        <w:numPr>
          <w:ilvl w:val="0"/>
          <w:numId w:val="4"/>
        </w:numPr>
        <w:ind w:left="36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Formal test of interaction</w:t>
      </w:r>
    </w:p>
    <w:p w14:paraId="76282F56" w14:textId="5EB50953" w:rsidR="00612D16" w:rsidRDefault="00612D16" w:rsidP="00BE0314">
      <w:pPr>
        <w:pStyle w:val="ListParagraph"/>
        <w:numPr>
          <w:ilvl w:val="1"/>
          <w:numId w:val="4"/>
        </w:numPr>
        <w:ind w:left="72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We conducted formal tests of interaction</w:t>
      </w:r>
      <w:r w:rsidR="00F23859">
        <w:rPr>
          <w:rFonts w:ascii="Times" w:hAnsi="Times"/>
          <w:sz w:val="22"/>
          <w:szCs w:val="22"/>
        </w:rPr>
        <w:t xml:space="preserve"> using a p-value for interaction</w:t>
      </w:r>
      <w:r>
        <w:rPr>
          <w:rFonts w:ascii="Times" w:hAnsi="Times"/>
          <w:sz w:val="22"/>
          <w:szCs w:val="22"/>
        </w:rPr>
        <w:t xml:space="preserve"> between our exposure variable and sex, age group, season, region, and climate zone. </w:t>
      </w:r>
    </w:p>
    <w:p w14:paraId="02A7DAE2" w14:textId="77777777" w:rsidR="00F23859" w:rsidRDefault="00F23859" w:rsidP="00D72042">
      <w:pPr>
        <w:pStyle w:val="ListParagraph"/>
        <w:numPr>
          <w:ilvl w:val="0"/>
          <w:numId w:val="4"/>
        </w:numPr>
        <w:ind w:left="36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Sensitivity analyses</w:t>
      </w:r>
    </w:p>
    <w:p w14:paraId="079EBB16" w14:textId="64E13FAC" w:rsidR="001B15C3" w:rsidRDefault="00F23859" w:rsidP="00BE0314">
      <w:pPr>
        <w:pStyle w:val="ListParagraph"/>
        <w:numPr>
          <w:ilvl w:val="1"/>
          <w:numId w:val="4"/>
        </w:numPr>
        <w:ind w:left="81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W</w:t>
      </w:r>
      <w:r w:rsidR="001B15C3">
        <w:rPr>
          <w:rFonts w:ascii="Times" w:hAnsi="Times"/>
          <w:sz w:val="22"/>
          <w:szCs w:val="22"/>
        </w:rPr>
        <w:t xml:space="preserve">e further characterized the importance of the magnitude of the deviation of monthly average temperatures from long-term average temperatures by </w:t>
      </w:r>
      <w:r w:rsidR="00D72042">
        <w:rPr>
          <w:rFonts w:ascii="Times" w:hAnsi="Times"/>
          <w:sz w:val="22"/>
          <w:szCs w:val="22"/>
        </w:rPr>
        <w:t xml:space="preserve">(1) </w:t>
      </w:r>
      <w:r w:rsidR="001B15C3">
        <w:rPr>
          <w:rFonts w:ascii="Times" w:hAnsi="Times"/>
          <w:sz w:val="22"/>
          <w:szCs w:val="22"/>
        </w:rPr>
        <w:t>repeating our main analysis using a categorical variable for the difference between monthly average and long-term average temperatures</w:t>
      </w:r>
      <w:r w:rsidR="00D72042">
        <w:rPr>
          <w:rFonts w:ascii="Times" w:hAnsi="Times"/>
          <w:sz w:val="22"/>
          <w:szCs w:val="22"/>
        </w:rPr>
        <w:t xml:space="preserve">, and (2) defining an </w:t>
      </w:r>
      <w:r w:rsidR="000A32A5" w:rsidRPr="00D72042">
        <w:rPr>
          <w:rFonts w:ascii="Times" w:hAnsi="Times"/>
          <w:sz w:val="22"/>
          <w:szCs w:val="22"/>
        </w:rPr>
        <w:t>alternative</w:t>
      </w:r>
      <w:r w:rsidR="00D72042">
        <w:rPr>
          <w:rFonts w:ascii="Times" w:hAnsi="Times"/>
          <w:sz w:val="22"/>
          <w:szCs w:val="22"/>
        </w:rPr>
        <w:t>, categorical</w:t>
      </w:r>
      <w:r w:rsidR="000A32A5" w:rsidRPr="00D72042">
        <w:rPr>
          <w:rFonts w:ascii="Times" w:hAnsi="Times"/>
          <w:sz w:val="22"/>
          <w:szCs w:val="22"/>
        </w:rPr>
        <w:t xml:space="preserve"> metric </w:t>
      </w:r>
      <w:r w:rsidR="00D72042">
        <w:rPr>
          <w:rFonts w:ascii="Times" w:hAnsi="Times"/>
          <w:sz w:val="22"/>
          <w:szCs w:val="22"/>
        </w:rPr>
        <w:t>for</w:t>
      </w:r>
      <w:r w:rsidR="000A32A5" w:rsidRPr="00D72042">
        <w:rPr>
          <w:rFonts w:ascii="Times" w:hAnsi="Times"/>
          <w:sz w:val="22"/>
          <w:szCs w:val="22"/>
        </w:rPr>
        <w:t xml:space="preserve"> the number of anomalously warm days per month as a categorical variable.</w:t>
      </w:r>
    </w:p>
    <w:p w14:paraId="3BC36899" w14:textId="3054A38B" w:rsidR="00D72042" w:rsidRPr="00D72042" w:rsidRDefault="00F23859" w:rsidP="00BE0314">
      <w:pPr>
        <w:pStyle w:val="ListParagraph"/>
        <w:numPr>
          <w:ilvl w:val="1"/>
          <w:numId w:val="4"/>
        </w:numPr>
        <w:ind w:left="81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W</w:t>
      </w:r>
      <w:r w:rsidR="00D72042">
        <w:rPr>
          <w:rFonts w:ascii="Times" w:hAnsi="Times"/>
          <w:sz w:val="22"/>
          <w:szCs w:val="22"/>
        </w:rPr>
        <w:t xml:space="preserve">e lagged the exposure metric forward and backward by one month and then repeated our main analysis. </w:t>
      </w:r>
    </w:p>
    <w:p w14:paraId="6D5CFEF3" w14:textId="568F5081" w:rsidR="00F23859" w:rsidRDefault="00F23859" w:rsidP="000A32A5">
      <w:pPr>
        <w:pStyle w:val="ListParagraph"/>
        <w:numPr>
          <w:ilvl w:val="0"/>
          <w:numId w:val="4"/>
        </w:numPr>
        <w:ind w:left="36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Negative exposure controls</w:t>
      </w:r>
    </w:p>
    <w:p w14:paraId="2EE1F500" w14:textId="6474BBFF" w:rsidR="000A32A5" w:rsidRDefault="000A32A5" w:rsidP="00BE0314">
      <w:pPr>
        <w:pStyle w:val="ListParagraph"/>
        <w:numPr>
          <w:ilvl w:val="1"/>
          <w:numId w:val="4"/>
        </w:numPr>
        <w:ind w:left="81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Because our negative outcome control analysis still showed persistent – albeit attenuated – associations, we included a new negative exposure controls analysis in which we repeated our main analysis after randomly permuting the exposure variable.</w:t>
      </w:r>
    </w:p>
    <w:p w14:paraId="64CE37A1" w14:textId="2D7A9C2D" w:rsidR="000A32A5" w:rsidRDefault="000A32A5" w:rsidP="00BE0314">
      <w:pPr>
        <w:pStyle w:val="ListParagraph"/>
        <w:numPr>
          <w:ilvl w:val="1"/>
          <w:numId w:val="4"/>
        </w:numPr>
        <w:ind w:left="810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Because cold sensitivity is not a clinical feature of multiple sclerosis, we feel that our analysis of anomalously cool weather – which we initially presented as a secondary analysis – is more appropriate as a negative exposure control analysis.</w:t>
      </w:r>
    </w:p>
    <w:p w14:paraId="53C64516" w14:textId="2CE1157B" w:rsidR="000A32A5" w:rsidRDefault="000A32A5" w:rsidP="000A32A5">
      <w:pPr>
        <w:rPr>
          <w:rFonts w:ascii="Times" w:hAnsi="Times"/>
          <w:sz w:val="22"/>
          <w:szCs w:val="22"/>
        </w:rPr>
      </w:pPr>
    </w:p>
    <w:p w14:paraId="5201EAA5" w14:textId="2E93A96A" w:rsidR="000A32A5" w:rsidRDefault="000A32A5" w:rsidP="000A32A5">
      <w:pPr>
        <w:rPr>
          <w:rFonts w:ascii="Times" w:hAnsi="Times"/>
          <w:sz w:val="22"/>
          <w:szCs w:val="22"/>
        </w:rPr>
      </w:pPr>
    </w:p>
    <w:p w14:paraId="71D70971" w14:textId="61922E42" w:rsidR="000A32A5" w:rsidRDefault="000A32A5" w:rsidP="000A32A5">
      <w:pPr>
        <w:rPr>
          <w:rFonts w:ascii="Times" w:hAnsi="Times"/>
          <w:sz w:val="22"/>
          <w:szCs w:val="22"/>
        </w:rPr>
      </w:pPr>
    </w:p>
    <w:p w14:paraId="40057DB5" w14:textId="2DB45987" w:rsidR="000A32A5" w:rsidRDefault="000A32A5" w:rsidP="000A32A5">
      <w:pPr>
        <w:rPr>
          <w:rFonts w:ascii="Times" w:hAnsi="Times"/>
          <w:sz w:val="22"/>
          <w:szCs w:val="22"/>
        </w:rPr>
      </w:pPr>
    </w:p>
    <w:p w14:paraId="7ADB6289" w14:textId="4D602172" w:rsidR="000A32A5" w:rsidRDefault="000A32A5" w:rsidP="000A32A5">
      <w:pPr>
        <w:rPr>
          <w:rFonts w:ascii="Times" w:hAnsi="Times"/>
          <w:sz w:val="22"/>
          <w:szCs w:val="22"/>
        </w:rPr>
      </w:pPr>
    </w:p>
    <w:p w14:paraId="7BF00008" w14:textId="413E2925" w:rsidR="000A32A5" w:rsidRDefault="000A32A5" w:rsidP="000A32A5">
      <w:pPr>
        <w:rPr>
          <w:rFonts w:ascii="Times" w:hAnsi="Times"/>
          <w:sz w:val="22"/>
          <w:szCs w:val="22"/>
        </w:rPr>
      </w:pPr>
    </w:p>
    <w:p w14:paraId="08BD3C33" w14:textId="5EBB1624" w:rsidR="000A32A5" w:rsidRDefault="000A32A5" w:rsidP="000A32A5">
      <w:pPr>
        <w:rPr>
          <w:rFonts w:ascii="Times" w:hAnsi="Times"/>
          <w:sz w:val="22"/>
          <w:szCs w:val="22"/>
        </w:rPr>
      </w:pPr>
    </w:p>
    <w:p w14:paraId="4A4D43F6" w14:textId="113508E4" w:rsidR="000A32A5" w:rsidRDefault="000A32A5" w:rsidP="000A32A5">
      <w:pPr>
        <w:rPr>
          <w:rFonts w:ascii="Times" w:hAnsi="Times"/>
          <w:sz w:val="22"/>
          <w:szCs w:val="22"/>
        </w:rPr>
      </w:pPr>
    </w:p>
    <w:p w14:paraId="3AA2C21C" w14:textId="10FD7741" w:rsidR="000A32A5" w:rsidRDefault="000A32A5" w:rsidP="000A32A5">
      <w:pPr>
        <w:rPr>
          <w:rFonts w:ascii="Times" w:hAnsi="Times"/>
          <w:sz w:val="22"/>
          <w:szCs w:val="22"/>
        </w:rPr>
      </w:pPr>
    </w:p>
    <w:p w14:paraId="66D4AC3D" w14:textId="5AC66E03" w:rsidR="000A32A5" w:rsidRDefault="000A32A5" w:rsidP="000A32A5">
      <w:pPr>
        <w:rPr>
          <w:rFonts w:ascii="Times" w:hAnsi="Times"/>
          <w:sz w:val="22"/>
          <w:szCs w:val="22"/>
        </w:rPr>
      </w:pPr>
    </w:p>
    <w:p w14:paraId="09775178" w14:textId="77777777" w:rsidR="000B248C" w:rsidRDefault="000B248C" w:rsidP="000A32A5">
      <w:pPr>
        <w:rPr>
          <w:rFonts w:ascii="Times" w:hAnsi="Times"/>
          <w:sz w:val="22"/>
          <w:szCs w:val="22"/>
        </w:rPr>
      </w:pPr>
    </w:p>
    <w:p w14:paraId="4A9279B7" w14:textId="70543074" w:rsidR="000A32A5" w:rsidRDefault="000A32A5" w:rsidP="000A32A5">
      <w:pPr>
        <w:rPr>
          <w:rFonts w:ascii="Times" w:hAnsi="Times"/>
          <w:sz w:val="22"/>
          <w:szCs w:val="22"/>
        </w:rPr>
      </w:pPr>
    </w:p>
    <w:p w14:paraId="68D3BD36" w14:textId="1E0EB030" w:rsidR="000A32A5" w:rsidRDefault="000A32A5" w:rsidP="000A32A5">
      <w:pPr>
        <w:rPr>
          <w:rFonts w:ascii="Times" w:hAnsi="Times"/>
          <w:sz w:val="22"/>
          <w:szCs w:val="22"/>
        </w:rPr>
      </w:pPr>
    </w:p>
    <w:p w14:paraId="3489E6AC" w14:textId="29632808" w:rsidR="000A32A5" w:rsidRDefault="000A32A5" w:rsidP="000A32A5">
      <w:pPr>
        <w:rPr>
          <w:rFonts w:ascii="Times" w:hAnsi="Times"/>
          <w:sz w:val="22"/>
          <w:szCs w:val="22"/>
        </w:rPr>
      </w:pPr>
    </w:p>
    <w:p w14:paraId="5C0382B0" w14:textId="0DB9743B" w:rsidR="000A32A5" w:rsidRDefault="000A32A5" w:rsidP="000A32A5">
      <w:pPr>
        <w:rPr>
          <w:rFonts w:ascii="Times" w:hAnsi="Times"/>
          <w:sz w:val="22"/>
          <w:szCs w:val="22"/>
        </w:rPr>
      </w:pPr>
    </w:p>
    <w:p w14:paraId="1EACAA31" w14:textId="6109DA76" w:rsidR="000A32A5" w:rsidRDefault="000A32A5" w:rsidP="000A32A5">
      <w:pPr>
        <w:rPr>
          <w:rFonts w:ascii="Times" w:hAnsi="Times"/>
          <w:sz w:val="22"/>
          <w:szCs w:val="22"/>
        </w:rPr>
      </w:pPr>
    </w:p>
    <w:p w14:paraId="520ED7B4" w14:textId="1E75F161" w:rsidR="000A32A5" w:rsidRDefault="000A32A5" w:rsidP="000A32A5">
      <w:pPr>
        <w:rPr>
          <w:rFonts w:ascii="Times" w:hAnsi="Times"/>
          <w:sz w:val="22"/>
          <w:szCs w:val="22"/>
        </w:rPr>
      </w:pPr>
    </w:p>
    <w:p w14:paraId="2DB9D9AD" w14:textId="4DE0879B" w:rsidR="000A32A5" w:rsidRDefault="000A32A5" w:rsidP="000A32A5">
      <w:pPr>
        <w:rPr>
          <w:rFonts w:ascii="Times" w:hAnsi="Times"/>
          <w:sz w:val="22"/>
          <w:szCs w:val="22"/>
        </w:rPr>
      </w:pPr>
    </w:p>
    <w:p w14:paraId="39BF2345" w14:textId="74B8DF5C" w:rsidR="000A32A5" w:rsidRDefault="000A32A5" w:rsidP="000A32A5">
      <w:pPr>
        <w:rPr>
          <w:rFonts w:ascii="Times" w:hAnsi="Times"/>
          <w:sz w:val="22"/>
          <w:szCs w:val="22"/>
        </w:rPr>
      </w:pPr>
    </w:p>
    <w:p w14:paraId="735DCFB2" w14:textId="70F5C27E" w:rsidR="000A32A5" w:rsidRDefault="000A32A5" w:rsidP="000A32A5">
      <w:pPr>
        <w:rPr>
          <w:rFonts w:ascii="Times" w:hAnsi="Times"/>
          <w:sz w:val="22"/>
          <w:szCs w:val="22"/>
        </w:rPr>
      </w:pPr>
    </w:p>
    <w:p w14:paraId="1F334C18" w14:textId="0DFAF2FD" w:rsidR="000A32A5" w:rsidRDefault="000A32A5" w:rsidP="000A32A5">
      <w:pPr>
        <w:rPr>
          <w:rFonts w:ascii="Times" w:hAnsi="Times"/>
          <w:sz w:val="22"/>
          <w:szCs w:val="22"/>
        </w:rPr>
      </w:pPr>
    </w:p>
    <w:p w14:paraId="7C4924A8" w14:textId="1D104342" w:rsidR="000A32A5" w:rsidRDefault="000A32A5" w:rsidP="000A32A5">
      <w:pPr>
        <w:rPr>
          <w:rFonts w:ascii="Times" w:hAnsi="Times"/>
          <w:sz w:val="22"/>
          <w:szCs w:val="22"/>
        </w:rPr>
      </w:pPr>
    </w:p>
    <w:p w14:paraId="13F10921" w14:textId="744EF81D" w:rsidR="000A32A5" w:rsidRDefault="000A32A5" w:rsidP="000A32A5">
      <w:pPr>
        <w:rPr>
          <w:rFonts w:ascii="Times" w:hAnsi="Times"/>
          <w:b/>
          <w:bCs/>
          <w:sz w:val="22"/>
          <w:szCs w:val="22"/>
        </w:rPr>
      </w:pPr>
      <w:r>
        <w:rPr>
          <w:rFonts w:ascii="Times" w:hAnsi="Times"/>
          <w:b/>
          <w:bCs/>
          <w:sz w:val="22"/>
          <w:szCs w:val="22"/>
        </w:rPr>
        <w:lastRenderedPageBreak/>
        <w:t>References</w:t>
      </w:r>
    </w:p>
    <w:p w14:paraId="149168F3" w14:textId="77777777" w:rsidR="000A32A5" w:rsidRPr="000A32A5" w:rsidRDefault="000A32A5" w:rsidP="000A32A5">
      <w:pPr>
        <w:rPr>
          <w:rFonts w:ascii="Times" w:hAnsi="Times"/>
          <w:b/>
          <w:bCs/>
          <w:sz w:val="22"/>
          <w:szCs w:val="22"/>
        </w:rPr>
      </w:pPr>
    </w:p>
    <w:p w14:paraId="27B628F3" w14:textId="77777777" w:rsidR="0069140B" w:rsidRPr="000A32A5" w:rsidRDefault="0069140B" w:rsidP="0069140B">
      <w:pPr>
        <w:pStyle w:val="EndNoteBibliography"/>
        <w:ind w:left="720" w:hanging="720"/>
        <w:rPr>
          <w:rFonts w:ascii="Times" w:hAnsi="Times"/>
          <w:noProof/>
        </w:rPr>
      </w:pPr>
      <w:r w:rsidRPr="000A32A5">
        <w:rPr>
          <w:rFonts w:ascii="Times" w:hAnsi="Times"/>
          <w:sz w:val="22"/>
          <w:szCs w:val="22"/>
        </w:rPr>
        <w:fldChar w:fldCharType="begin"/>
      </w:r>
      <w:r w:rsidRPr="000A32A5">
        <w:rPr>
          <w:rFonts w:ascii="Times" w:hAnsi="Times"/>
          <w:sz w:val="22"/>
          <w:szCs w:val="22"/>
        </w:rPr>
        <w:instrText xml:space="preserve"> ADDIN EN.REFLIST </w:instrText>
      </w:r>
      <w:r w:rsidRPr="000A32A5">
        <w:rPr>
          <w:rFonts w:ascii="Times" w:hAnsi="Times"/>
          <w:sz w:val="22"/>
          <w:szCs w:val="22"/>
        </w:rPr>
        <w:fldChar w:fldCharType="separate"/>
      </w:r>
      <w:r w:rsidRPr="000A32A5">
        <w:rPr>
          <w:rFonts w:ascii="Times" w:hAnsi="Times"/>
          <w:noProof/>
        </w:rPr>
        <w:t>1.</w:t>
      </w:r>
      <w:r w:rsidRPr="000A32A5">
        <w:rPr>
          <w:rFonts w:ascii="Times" w:hAnsi="Times"/>
          <w:noProof/>
        </w:rPr>
        <w:tab/>
        <w:t xml:space="preserve">Culpepper, W.J., et al., </w:t>
      </w:r>
      <w:r w:rsidRPr="000A32A5">
        <w:rPr>
          <w:rFonts w:ascii="Times" w:hAnsi="Times"/>
          <w:i/>
          <w:noProof/>
        </w:rPr>
        <w:t>Validation of an algorithm for identifying MS cases in administrative health claims datasets.</w:t>
      </w:r>
      <w:r w:rsidRPr="000A32A5">
        <w:rPr>
          <w:rFonts w:ascii="Times" w:hAnsi="Times"/>
          <w:noProof/>
        </w:rPr>
        <w:t xml:space="preserve"> Neurology, 2019. </w:t>
      </w:r>
      <w:r w:rsidRPr="000A32A5">
        <w:rPr>
          <w:rFonts w:ascii="Times" w:hAnsi="Times"/>
          <w:b/>
          <w:noProof/>
        </w:rPr>
        <w:t>92</w:t>
      </w:r>
      <w:r w:rsidRPr="000A32A5">
        <w:rPr>
          <w:rFonts w:ascii="Times" w:hAnsi="Times"/>
          <w:noProof/>
        </w:rPr>
        <w:t>(10): p. e1016-e1028.</w:t>
      </w:r>
    </w:p>
    <w:p w14:paraId="4DAE1D50" w14:textId="2B17032F" w:rsidR="0069140B" w:rsidRPr="000A32A5" w:rsidRDefault="0069140B" w:rsidP="0069140B">
      <w:pPr>
        <w:pStyle w:val="EndNoteBibliography"/>
        <w:ind w:left="720" w:hanging="720"/>
        <w:rPr>
          <w:rFonts w:ascii="Times" w:hAnsi="Times"/>
          <w:noProof/>
        </w:rPr>
      </w:pPr>
      <w:r w:rsidRPr="000A32A5">
        <w:rPr>
          <w:rFonts w:ascii="Times" w:hAnsi="Times"/>
          <w:noProof/>
        </w:rPr>
        <w:t>2.</w:t>
      </w:r>
      <w:r w:rsidRPr="000A32A5">
        <w:rPr>
          <w:rFonts w:ascii="Times" w:hAnsi="Times"/>
          <w:noProof/>
        </w:rPr>
        <w:tab/>
        <w:t xml:space="preserve">ECMWF. </w:t>
      </w:r>
      <w:r w:rsidRPr="000A32A5">
        <w:rPr>
          <w:rFonts w:ascii="Times" w:hAnsi="Times"/>
          <w:i/>
          <w:noProof/>
        </w:rPr>
        <w:t>ERA5</w:t>
      </w:r>
      <w:r w:rsidRPr="000A32A5">
        <w:rPr>
          <w:rFonts w:ascii="Times" w:hAnsi="Times"/>
          <w:noProof/>
        </w:rPr>
        <w:t xml:space="preserve">. 2020  [cited 2020 April 10]; Available from: </w:t>
      </w:r>
      <w:hyperlink r:id="rId6" w:history="1">
        <w:r w:rsidRPr="000A32A5">
          <w:rPr>
            <w:rStyle w:val="Hyperlink"/>
            <w:rFonts w:ascii="Times" w:hAnsi="Times"/>
            <w:noProof/>
          </w:rPr>
          <w:t>https://www.ecmwf.int/en/forecasts/datasets/reanalysis-datasets/era5</w:t>
        </w:r>
      </w:hyperlink>
      <w:r w:rsidRPr="000A32A5">
        <w:rPr>
          <w:rFonts w:ascii="Times" w:hAnsi="Times"/>
          <w:noProof/>
        </w:rPr>
        <w:t>.</w:t>
      </w:r>
    </w:p>
    <w:p w14:paraId="4F6D2EB6" w14:textId="77777777" w:rsidR="0069140B" w:rsidRPr="000A32A5" w:rsidRDefault="0069140B" w:rsidP="0069140B">
      <w:pPr>
        <w:pStyle w:val="EndNoteBibliography"/>
        <w:ind w:left="720" w:hanging="720"/>
        <w:rPr>
          <w:rFonts w:ascii="Times" w:hAnsi="Times"/>
          <w:noProof/>
        </w:rPr>
      </w:pPr>
      <w:r w:rsidRPr="000A32A5">
        <w:rPr>
          <w:rFonts w:ascii="Times" w:hAnsi="Times"/>
          <w:noProof/>
        </w:rPr>
        <w:t>3.</w:t>
      </w:r>
      <w:r w:rsidRPr="000A32A5">
        <w:rPr>
          <w:rFonts w:ascii="Times" w:hAnsi="Times"/>
          <w:noProof/>
        </w:rPr>
        <w:tab/>
        <w:t xml:space="preserve">Baechler, M.C., et al., </w:t>
      </w:r>
      <w:r w:rsidRPr="000A32A5">
        <w:rPr>
          <w:rFonts w:ascii="Times" w:hAnsi="Times"/>
          <w:i/>
          <w:noProof/>
        </w:rPr>
        <w:t>Guide to determining climate regions by county.</w:t>
      </w:r>
      <w:r w:rsidRPr="000A32A5">
        <w:rPr>
          <w:rFonts w:ascii="Times" w:hAnsi="Times"/>
          <w:noProof/>
        </w:rPr>
        <w:t xml:space="preserve"> Pacific Northwest National Laboratory &amp; Oak Ridge National Laboratory, 2010. </w:t>
      </w:r>
      <w:r w:rsidRPr="000A32A5">
        <w:rPr>
          <w:rFonts w:ascii="Times" w:hAnsi="Times"/>
          <w:b/>
          <w:noProof/>
        </w:rPr>
        <w:t>7</w:t>
      </w:r>
      <w:r w:rsidRPr="000A32A5">
        <w:rPr>
          <w:rFonts w:ascii="Times" w:hAnsi="Times"/>
          <w:noProof/>
        </w:rPr>
        <w:t>: p. 1-34.</w:t>
      </w:r>
    </w:p>
    <w:p w14:paraId="7AC8C85B" w14:textId="77777777" w:rsidR="0069140B" w:rsidRPr="000A32A5" w:rsidRDefault="0069140B" w:rsidP="0069140B">
      <w:pPr>
        <w:pStyle w:val="EndNoteBibliography"/>
        <w:ind w:left="720" w:hanging="720"/>
        <w:rPr>
          <w:rFonts w:ascii="Times" w:hAnsi="Times"/>
          <w:noProof/>
        </w:rPr>
      </w:pPr>
      <w:r w:rsidRPr="000A32A5">
        <w:rPr>
          <w:rFonts w:ascii="Times" w:hAnsi="Times"/>
          <w:noProof/>
        </w:rPr>
        <w:t>4.</w:t>
      </w:r>
      <w:r w:rsidRPr="000A32A5">
        <w:rPr>
          <w:rFonts w:ascii="Times" w:hAnsi="Times"/>
          <w:noProof/>
        </w:rPr>
        <w:tab/>
        <w:t xml:space="preserve">Koch-Henriksen, N., et al., </w:t>
      </w:r>
      <w:r w:rsidRPr="000A32A5">
        <w:rPr>
          <w:rFonts w:ascii="Times" w:hAnsi="Times"/>
          <w:i/>
          <w:noProof/>
        </w:rPr>
        <w:t>Incidence of MS has increased markedly over six decades in Denmark particularly with late onset and in women.</w:t>
      </w:r>
      <w:r w:rsidRPr="000A32A5">
        <w:rPr>
          <w:rFonts w:ascii="Times" w:hAnsi="Times"/>
          <w:noProof/>
        </w:rPr>
        <w:t xml:space="preserve"> Neurology, 2018. </w:t>
      </w:r>
      <w:r w:rsidRPr="000A32A5">
        <w:rPr>
          <w:rFonts w:ascii="Times" w:hAnsi="Times"/>
          <w:b/>
          <w:noProof/>
        </w:rPr>
        <w:t>90</w:t>
      </w:r>
      <w:r w:rsidRPr="000A32A5">
        <w:rPr>
          <w:rFonts w:ascii="Times" w:hAnsi="Times"/>
          <w:noProof/>
        </w:rPr>
        <w:t>(22): p. e1954-e1963.</w:t>
      </w:r>
    </w:p>
    <w:p w14:paraId="5399980C" w14:textId="77777777" w:rsidR="0069140B" w:rsidRPr="000A32A5" w:rsidRDefault="0069140B" w:rsidP="0069140B">
      <w:pPr>
        <w:pStyle w:val="EndNoteBibliography"/>
        <w:ind w:left="720" w:hanging="720"/>
        <w:rPr>
          <w:rFonts w:ascii="Times" w:hAnsi="Times"/>
          <w:noProof/>
        </w:rPr>
      </w:pPr>
      <w:r w:rsidRPr="000A32A5">
        <w:rPr>
          <w:rFonts w:ascii="Times" w:hAnsi="Times"/>
          <w:noProof/>
        </w:rPr>
        <w:t>5.</w:t>
      </w:r>
      <w:r w:rsidRPr="000A32A5">
        <w:rPr>
          <w:rFonts w:ascii="Times" w:hAnsi="Times"/>
          <w:noProof/>
        </w:rPr>
        <w:tab/>
        <w:t xml:space="preserve">Alonso, A. and M.A. Hernán, </w:t>
      </w:r>
      <w:r w:rsidRPr="000A32A5">
        <w:rPr>
          <w:rFonts w:ascii="Times" w:hAnsi="Times"/>
          <w:i/>
          <w:noProof/>
        </w:rPr>
        <w:t>Temporal trends in the incidence of multiple sclerosis: a systematic review.</w:t>
      </w:r>
      <w:r w:rsidRPr="000A32A5">
        <w:rPr>
          <w:rFonts w:ascii="Times" w:hAnsi="Times"/>
          <w:noProof/>
        </w:rPr>
        <w:t xml:space="preserve"> Neurology, 2008. </w:t>
      </w:r>
      <w:r w:rsidRPr="000A32A5">
        <w:rPr>
          <w:rFonts w:ascii="Times" w:hAnsi="Times"/>
          <w:b/>
          <w:noProof/>
        </w:rPr>
        <w:t>71</w:t>
      </w:r>
      <w:r w:rsidRPr="000A32A5">
        <w:rPr>
          <w:rFonts w:ascii="Times" w:hAnsi="Times"/>
          <w:noProof/>
        </w:rPr>
        <w:t>(2): p. 129-135.</w:t>
      </w:r>
    </w:p>
    <w:p w14:paraId="0EB846BC" w14:textId="77777777" w:rsidR="0069140B" w:rsidRPr="000A32A5" w:rsidRDefault="0069140B" w:rsidP="0069140B">
      <w:pPr>
        <w:pStyle w:val="EndNoteBibliography"/>
        <w:ind w:left="720" w:hanging="720"/>
        <w:rPr>
          <w:rFonts w:ascii="Times" w:hAnsi="Times"/>
          <w:noProof/>
        </w:rPr>
      </w:pPr>
      <w:r w:rsidRPr="000A32A5">
        <w:rPr>
          <w:rFonts w:ascii="Times" w:hAnsi="Times"/>
          <w:noProof/>
        </w:rPr>
        <w:t>6.</w:t>
      </w:r>
      <w:r w:rsidRPr="000A32A5">
        <w:rPr>
          <w:rFonts w:ascii="Times" w:hAnsi="Times"/>
          <w:noProof/>
        </w:rPr>
        <w:tab/>
        <w:t xml:space="preserve">Magyari, M., et al., </w:t>
      </w:r>
      <w:r w:rsidRPr="000A32A5">
        <w:rPr>
          <w:rFonts w:ascii="Times" w:hAnsi="Times"/>
          <w:i/>
          <w:noProof/>
        </w:rPr>
        <w:t>Gender effects on treatment response to interferon</w:t>
      </w:r>
      <w:r w:rsidRPr="000A32A5">
        <w:rPr>
          <w:rFonts w:ascii="Cambria Math" w:hAnsi="Cambria Math" w:cs="Cambria Math"/>
          <w:i/>
          <w:noProof/>
        </w:rPr>
        <w:t>‐</w:t>
      </w:r>
      <w:r w:rsidRPr="000A32A5">
        <w:rPr>
          <w:rFonts w:ascii="Times" w:hAnsi="Times"/>
          <w:i/>
          <w:noProof/>
        </w:rPr>
        <w:t>beta in multiple sclerosis.</w:t>
      </w:r>
      <w:r w:rsidRPr="000A32A5">
        <w:rPr>
          <w:rFonts w:ascii="Times" w:hAnsi="Times"/>
          <w:noProof/>
        </w:rPr>
        <w:t xml:space="preserve"> Acta Neurologica Scandinavica, 2014. </w:t>
      </w:r>
      <w:r w:rsidRPr="000A32A5">
        <w:rPr>
          <w:rFonts w:ascii="Times" w:hAnsi="Times"/>
          <w:b/>
          <w:noProof/>
        </w:rPr>
        <w:t>130</w:t>
      </w:r>
      <w:r w:rsidRPr="000A32A5">
        <w:rPr>
          <w:rFonts w:ascii="Times" w:hAnsi="Times"/>
          <w:noProof/>
        </w:rPr>
        <w:t>(6): p. 374-379.</w:t>
      </w:r>
    </w:p>
    <w:p w14:paraId="1125E297" w14:textId="77777777" w:rsidR="0069140B" w:rsidRPr="000A32A5" w:rsidRDefault="0069140B" w:rsidP="0069140B">
      <w:pPr>
        <w:pStyle w:val="EndNoteBibliography"/>
        <w:ind w:left="720" w:hanging="720"/>
        <w:rPr>
          <w:rFonts w:ascii="Times" w:hAnsi="Times"/>
          <w:noProof/>
        </w:rPr>
      </w:pPr>
      <w:r w:rsidRPr="000A32A5">
        <w:rPr>
          <w:rFonts w:ascii="Times" w:hAnsi="Times"/>
          <w:noProof/>
        </w:rPr>
        <w:t>7.</w:t>
      </w:r>
      <w:r w:rsidRPr="000A32A5">
        <w:rPr>
          <w:rFonts w:ascii="Times" w:hAnsi="Times"/>
          <w:noProof/>
        </w:rPr>
        <w:tab/>
        <w:t xml:space="preserve">Manteuffel, M., et al., </w:t>
      </w:r>
      <w:r w:rsidRPr="000A32A5">
        <w:rPr>
          <w:rFonts w:ascii="Times" w:hAnsi="Times"/>
          <w:i/>
          <w:noProof/>
        </w:rPr>
        <w:t>Influence of patient sex and gender on medication use, adherence, and prescribing alignment with guidelines.</w:t>
      </w:r>
      <w:r w:rsidRPr="000A32A5">
        <w:rPr>
          <w:rFonts w:ascii="Times" w:hAnsi="Times"/>
          <w:noProof/>
        </w:rPr>
        <w:t xml:space="preserve"> Journal of women's health, 2014. </w:t>
      </w:r>
      <w:r w:rsidRPr="000A32A5">
        <w:rPr>
          <w:rFonts w:ascii="Times" w:hAnsi="Times"/>
          <w:b/>
          <w:noProof/>
        </w:rPr>
        <w:t>23</w:t>
      </w:r>
      <w:r w:rsidRPr="000A32A5">
        <w:rPr>
          <w:rFonts w:ascii="Times" w:hAnsi="Times"/>
          <w:noProof/>
        </w:rPr>
        <w:t>(2): p. 112-119.</w:t>
      </w:r>
    </w:p>
    <w:p w14:paraId="0BF045E7" w14:textId="77777777" w:rsidR="0069140B" w:rsidRPr="000A32A5" w:rsidRDefault="0069140B" w:rsidP="0069140B">
      <w:pPr>
        <w:pStyle w:val="EndNoteBibliography"/>
        <w:ind w:left="720" w:hanging="720"/>
        <w:rPr>
          <w:rFonts w:ascii="Times" w:hAnsi="Times"/>
          <w:noProof/>
        </w:rPr>
      </w:pPr>
      <w:r w:rsidRPr="000A32A5">
        <w:rPr>
          <w:rFonts w:ascii="Times" w:hAnsi="Times"/>
          <w:noProof/>
        </w:rPr>
        <w:t>8.</w:t>
      </w:r>
      <w:r w:rsidRPr="000A32A5">
        <w:rPr>
          <w:rFonts w:ascii="Times" w:hAnsi="Times"/>
          <w:noProof/>
        </w:rPr>
        <w:tab/>
        <w:t xml:space="preserve">Owens, G., </w:t>
      </w:r>
      <w:r w:rsidRPr="000A32A5">
        <w:rPr>
          <w:rFonts w:ascii="Times" w:hAnsi="Times"/>
          <w:i/>
          <w:noProof/>
        </w:rPr>
        <w:t>Gender differences in health care expenditures, resource utilization, and quality of care.</w:t>
      </w:r>
      <w:r w:rsidRPr="000A32A5">
        <w:rPr>
          <w:rFonts w:ascii="Times" w:hAnsi="Times"/>
          <w:noProof/>
        </w:rPr>
        <w:t xml:space="preserve"> Journal of Managed Care Pharmacy, 2008. </w:t>
      </w:r>
      <w:r w:rsidRPr="000A32A5">
        <w:rPr>
          <w:rFonts w:ascii="Times" w:hAnsi="Times"/>
          <w:b/>
          <w:noProof/>
        </w:rPr>
        <w:t>14</w:t>
      </w:r>
      <w:r w:rsidRPr="000A32A5">
        <w:rPr>
          <w:rFonts w:ascii="Times" w:hAnsi="Times"/>
          <w:noProof/>
        </w:rPr>
        <w:t>(3): p. 2-6.</w:t>
      </w:r>
    </w:p>
    <w:p w14:paraId="35ED9F83" w14:textId="44BFC4DE" w:rsidR="003D65DA" w:rsidRPr="003D65DA" w:rsidRDefault="0069140B" w:rsidP="000A32A5">
      <w:r w:rsidRPr="000A32A5">
        <w:rPr>
          <w:rFonts w:ascii="Times" w:hAnsi="Times"/>
        </w:rPr>
        <w:fldChar w:fldCharType="end"/>
      </w:r>
    </w:p>
    <w:sectPr w:rsidR="003D65DA" w:rsidRPr="003D6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altName w:val="﷽﷽﷽﷽﷽﷽䍀黵싫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146393"/>
    <w:multiLevelType w:val="hybridMultilevel"/>
    <w:tmpl w:val="4E907A68"/>
    <w:lvl w:ilvl="0" w:tplc="E1949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EF67E5"/>
    <w:multiLevelType w:val="hybridMultilevel"/>
    <w:tmpl w:val="CC2A0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14014"/>
    <w:multiLevelType w:val="hybridMultilevel"/>
    <w:tmpl w:val="E064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0C2CB3"/>
    <w:multiLevelType w:val="hybridMultilevel"/>
    <w:tmpl w:val="1BF4B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Numbered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a9d5xd90e9foe5pw3xsds79a5dx5dtvxps&quot;&gt;My EndNote Library&lt;record-ids&gt;&lt;item&gt;50&lt;/item&gt;&lt;item&gt;51&lt;/item&gt;&lt;item&gt;52&lt;/item&gt;&lt;item&gt;75&lt;/item&gt;&lt;item&gt;77&lt;/item&gt;&lt;item&gt;137&lt;/item&gt;&lt;item&gt;138&lt;/item&gt;&lt;item&gt;217&lt;/item&gt;&lt;/record-ids&gt;&lt;/item&gt;&lt;/Libraries&gt;"/>
  </w:docVars>
  <w:rsids>
    <w:rsidRoot w:val="008F4890"/>
    <w:rsid w:val="00044C7E"/>
    <w:rsid w:val="000569FD"/>
    <w:rsid w:val="00087423"/>
    <w:rsid w:val="000A32A5"/>
    <w:rsid w:val="000B248C"/>
    <w:rsid w:val="00106A7E"/>
    <w:rsid w:val="001537B8"/>
    <w:rsid w:val="00187703"/>
    <w:rsid w:val="001A27D6"/>
    <w:rsid w:val="001B135F"/>
    <w:rsid w:val="001B15C3"/>
    <w:rsid w:val="00226738"/>
    <w:rsid w:val="00230F1C"/>
    <w:rsid w:val="00261771"/>
    <w:rsid w:val="002F0922"/>
    <w:rsid w:val="00355281"/>
    <w:rsid w:val="003A5774"/>
    <w:rsid w:val="003D65DA"/>
    <w:rsid w:val="003F5E8E"/>
    <w:rsid w:val="00430472"/>
    <w:rsid w:val="00471B9A"/>
    <w:rsid w:val="00483EF6"/>
    <w:rsid w:val="004B2E16"/>
    <w:rsid w:val="00514E0B"/>
    <w:rsid w:val="005334B4"/>
    <w:rsid w:val="005B02E7"/>
    <w:rsid w:val="0060313E"/>
    <w:rsid w:val="00610E6D"/>
    <w:rsid w:val="00612D16"/>
    <w:rsid w:val="0069140B"/>
    <w:rsid w:val="006B3C77"/>
    <w:rsid w:val="006E6208"/>
    <w:rsid w:val="007651A6"/>
    <w:rsid w:val="007C63C2"/>
    <w:rsid w:val="007E3E85"/>
    <w:rsid w:val="007F7157"/>
    <w:rsid w:val="008C2A26"/>
    <w:rsid w:val="008F4890"/>
    <w:rsid w:val="00941AC5"/>
    <w:rsid w:val="00951BA8"/>
    <w:rsid w:val="00965A81"/>
    <w:rsid w:val="009831AA"/>
    <w:rsid w:val="009D635C"/>
    <w:rsid w:val="00A43736"/>
    <w:rsid w:val="00AA5FF6"/>
    <w:rsid w:val="00AB2D71"/>
    <w:rsid w:val="00AC43E2"/>
    <w:rsid w:val="00AF3381"/>
    <w:rsid w:val="00B8546B"/>
    <w:rsid w:val="00BE0314"/>
    <w:rsid w:val="00BE11B4"/>
    <w:rsid w:val="00BF449B"/>
    <w:rsid w:val="00C01FFF"/>
    <w:rsid w:val="00C05071"/>
    <w:rsid w:val="00C05F33"/>
    <w:rsid w:val="00CC0143"/>
    <w:rsid w:val="00CD153B"/>
    <w:rsid w:val="00CF0695"/>
    <w:rsid w:val="00D40A5F"/>
    <w:rsid w:val="00D453F7"/>
    <w:rsid w:val="00D72042"/>
    <w:rsid w:val="00D75578"/>
    <w:rsid w:val="00DF17AC"/>
    <w:rsid w:val="00E1187D"/>
    <w:rsid w:val="00E27DEA"/>
    <w:rsid w:val="00E41D8C"/>
    <w:rsid w:val="00E93CFF"/>
    <w:rsid w:val="00ED0B66"/>
    <w:rsid w:val="00F2371A"/>
    <w:rsid w:val="00F23859"/>
    <w:rsid w:val="00F813C4"/>
    <w:rsid w:val="00FE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DB438"/>
  <w15:chartTrackingRefBased/>
  <w15:docId w15:val="{429978D7-1F04-D245-BFC9-2B744674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8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65D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5DA"/>
    <w:rPr>
      <w:rFonts w:ascii="Times New Roman" w:hAnsi="Times New Roman" w:cs="Times New Roman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69140B"/>
    <w:pPr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9140B"/>
    <w:rPr>
      <w:rFonts w:ascii="Calibri" w:hAnsi="Calibri" w:cs="Calibri"/>
    </w:rPr>
  </w:style>
  <w:style w:type="paragraph" w:customStyle="1" w:styleId="EndNoteBibliography">
    <w:name w:val="EndNote Bibliography"/>
    <w:basedOn w:val="Normal"/>
    <w:link w:val="EndNoteBibliographyChar"/>
    <w:rsid w:val="0069140B"/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69140B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914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40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B24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4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4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4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24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cmwf.int/en/forecasts/datasets/reanalysis-datasets/era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55C65A-892D-A84C-B01C-FDF600A29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C Elser</dc:creator>
  <cp:keywords/>
  <dc:description/>
  <cp:lastModifiedBy>Holly C Elser</cp:lastModifiedBy>
  <cp:revision>2</cp:revision>
  <dcterms:created xsi:type="dcterms:W3CDTF">2021-03-13T23:02:00Z</dcterms:created>
  <dcterms:modified xsi:type="dcterms:W3CDTF">2021-03-13T23:02:00Z</dcterms:modified>
</cp:coreProperties>
</file>