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color w:val="171A1D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方正小标宋_GBK" w:hAnsi="方正小标宋_GBK" w:eastAsia="方正小标宋_GBK" w:cs="方正小标宋_GBK"/>
          <w:color w:val="171A1D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温州市洞头区审计发现重大问题责任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color w:val="171A1D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  <w:bookmarkStart w:id="0" w:name="_GoBack"/>
      <w:r>
        <w:rPr>
          <w:rFonts w:hint="eastAsia" w:ascii="方正小标宋_GBK" w:hAnsi="方正小标宋_GBK" w:eastAsia="方正小标宋_GBK" w:cs="方正小标宋_GBK"/>
          <w:color w:val="171A1D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认定办法（试行）</w:t>
      </w:r>
    </w:p>
    <w:bookmarkEnd w:id="0"/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560" w:lineRule="exact"/>
        <w:jc w:val="both"/>
        <w:textAlignment w:val="auto"/>
        <w:rPr>
          <w:rFonts w:hint="eastAsia" w:ascii="仿宋" w:eastAsia="仿宋" w:cs="仿宋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0"/>
        <w:jc w:val="both"/>
        <w:textAlignment w:val="auto"/>
        <w:rPr>
          <w:rFonts w:hint="eastAsia" w:ascii="仿宋_GB2312" w:eastAsia="仿宋_GB2312" w:cs="仿宋_GB2312"/>
          <w:color w:val="171A1D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eastAsia="黑体" w:cs="黑体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第一条</w:t>
      </w:r>
      <w:r>
        <w:rPr>
          <w:rFonts w:hint="eastAsia" w:ascii="仿宋" w:eastAsia="仿宋" w:cs="仿宋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 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zh-CN" w:eastAsia="zh-CN" w:bidi="ar"/>
        </w:rPr>
        <w:t>为进一步发挥审计在干部监督管理中的重要作用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，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zh-CN" w:eastAsia="zh-CN" w:bidi="ar"/>
        </w:rPr>
        <w:t>规范权力运行和严格责任落实，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建立审计发现重大问题责任认定机制，全面精准服务“纪巡审”联动、组织会商、纪委责任追究、全区领导干部考核积分等管理，特制定本办法。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color w:val="171A1D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eastAsia="黑体" w:cs="黑体"/>
          <w:color w:val="171A1D"/>
          <w:kern w:val="0"/>
          <w:sz w:val="32"/>
          <w:szCs w:val="32"/>
          <w:shd w:val="clear" w:color="auto" w:fill="FFFFFF"/>
          <w:lang w:val="en-US" w:eastAsia="zh-CN" w:bidi="ar"/>
        </w:rPr>
        <w:t>第二条　</w:t>
      </w:r>
      <w:r>
        <w:rPr>
          <w:rFonts w:hint="eastAsia" w:ascii="仿宋_GB2312" w:hAnsi="仿宋_GB2312" w:eastAsia="仿宋_GB2312" w:cs="仿宋_GB2312"/>
          <w:color w:val="171A1D"/>
          <w:kern w:val="0"/>
          <w:sz w:val="32"/>
          <w:szCs w:val="32"/>
          <w:shd w:val="clear" w:color="auto" w:fill="FFFFFF"/>
          <w:lang w:val="en-US" w:eastAsia="zh-CN" w:bidi="ar"/>
        </w:rPr>
        <w:t>本办法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适用于所有纳入审计项目计划的项目。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highlight w:val="yellow"/>
          <w:shd w:val="clear" w:color="auto" w:fill="FFFFFF"/>
          <w:lang w:val="en-US" w:eastAsia="zh-CN" w:bidi="ar"/>
        </w:rPr>
      </w:pPr>
      <w:r>
        <w:rPr>
          <w:rFonts w:hint="eastAsia" w:ascii="黑体" w:eastAsia="黑体" w:cs="黑体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第三条　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本办法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highlight w:val="none"/>
          <w:shd w:val="clear" w:color="auto" w:fill="FFFFFF"/>
          <w:lang w:val="en-US" w:eastAsia="zh-CN" w:bidi="ar"/>
        </w:rPr>
        <w:t>所称的重大问题是指重大决策部署贯彻落实、重大经济决策管理、重大工程建设管理、资金资产资源管理和经济风险防控等四方面问题，审计发现的重大违法违纪问题按有关规定办理。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highlight w:val="none"/>
          <w:shd w:val="clear" w:color="auto" w:fill="FFFFFF"/>
          <w:lang w:val="en-US" w:eastAsia="zh-CN" w:bidi="ar"/>
        </w:rPr>
      </w:pPr>
      <w:r>
        <w:rPr>
          <w:rFonts w:hint="eastAsia" w:ascii="黑体" w:eastAsia="黑体" w:cs="黑体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第四条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highlight w:val="none"/>
          <w:shd w:val="clear" w:color="auto" w:fill="FFFFFF"/>
          <w:lang w:val="en-US" w:eastAsia="zh-CN" w:bidi="ar"/>
        </w:rPr>
        <w:t xml:space="preserve">  重大决策部署贯彻落实方面一般包括下列类型问题：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highlight w:val="none"/>
          <w:shd w:val="clear" w:color="auto" w:fill="FFFFFF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highlight w:val="none"/>
          <w:shd w:val="clear" w:color="auto" w:fill="FFFFFF"/>
          <w:lang w:val="en-US" w:eastAsia="zh-CN" w:bidi="ar"/>
        </w:rPr>
        <w:t>一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highlight w:val="none"/>
          <w:shd w:val="clear" w:color="auto" w:fill="FFFFFF"/>
          <w:lang w:eastAsia="zh-CN" w:bidi="ar"/>
        </w:rPr>
        <w:t>）落实重大决策部署不务实。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highlight w:val="none"/>
          <w:shd w:val="clear" w:color="auto" w:fill="FFFFFF"/>
          <w:lang w:bidi="ar"/>
        </w:rPr>
        <w:t>贯彻党和国家经济方针政策、决策部署不坚决不全面不到位，造成公共资金、国有资产、国有资源损失浪费，生态环境破坏，公共利益损害等后果的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highlight w:val="none"/>
          <w:shd w:val="clear" w:color="auto" w:fill="FFFFFF"/>
          <w:lang w:eastAsia="zh-CN" w:bidi="ar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（二）重大项目、重点工作任务推进不力。对重大战略、重大规划、业务条线等部署的重点工作、重要任务、重大项目，存在申报不实、进度未达要求等情况。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（三）过紧日子政策落实不到位。未经批准擅自举办会展、论坛等活动。“三公”经费、会议费、培训费等支出不合理，存在铺张浪费情况。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（四）民生保障措施落实不到位。民生实事任务部署不精准、民生领域政策未落实到位、民生实事项目未如期落地、未能如期兑现等问题。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（五）破坏营商环境等问题。财政、经信、住建、交通等职能部门在涉企政策兑现、资金拨付、政务服务、拖欠民营企业中小企业账款、不及时清退各种保证金等营商环境方面存在的问题。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（六）其他相关重大决策部署贯彻落实方面问题。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eastAsia="黑体" w:cs="黑体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第五条</w:t>
      </w:r>
      <w:r>
        <w:rPr>
          <w:rFonts w:hint="eastAsia" w:asci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 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重大经济决策管理方面一般包括下列类型问题：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（一）重大经济事项程序不合规。重大经济事项未按规定程序和权限进行集体决策，未经充分论证、听取意见等民主程序，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highlight w:val="none"/>
          <w:shd w:val="clear" w:color="auto" w:fill="FFFFFF"/>
          <w:lang w:bidi="ar"/>
        </w:rPr>
        <w:t>造成公共资金、国有资产、国有资源损失浪费，生态环境破坏，公共利益损害等后果的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（二）重大经济事项决策不科学。融资决策失误，导致项目费用不合理增加；决策反复造成建设资金损失浪费；决策不科学，导致半拉子工程、烂尾楼等。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　　（三）重大经济事项决策内容不合法。重大经济事项决策内容违反有关党内法规、法律法规、政策规定、或与国家宏观调控、产业发展、环境保护等政策相抵触。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　　（四）重大经济事项执行不力。重大经济事项推进过程中因执行或监管不力导致未按期完成、未实现预期目标，甚至造成损失浪费、风险隐患等。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40" w:leftChars="200" w:firstLine="0" w:firstLineChars="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（五）其他相关重大经济决策管理方面问题。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br w:type="textWrapping"/>
      </w:r>
      <w:r>
        <w:rPr>
          <w:rFonts w:hint="eastAsia" w:ascii="黑体" w:eastAsia="黑体" w:cs="黑体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第六条</w:t>
      </w:r>
      <w:r>
        <w:rPr>
          <w:rFonts w:hint="eastAsia" w:asci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 重大工程建设管理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方面一般包括下列类型问题：</w:t>
      </w: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（一）重大项目谋划深度不够。重大项目盲目上马，盲目举债搞劳民伤财、破坏生态环境的形象工程、政绩工程、面子工程。项目立项缺乏可行性研究，项目重复建设，概预算脱离实际。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二）审批和建设程序不合规。重大项目基本建设程序倒置，未批先建，违规用地，未办理施工许可或开工备案手续，造成损失的。重大项目存在肢解发包、规避公开招标，设置排他性条款限制投标人，围标、串标等行为。工程重大设计变更不办理报批手续或先实施后补批。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   （三）合同管理不合规。以阴阳合同、虚假合同方式套取国有资产；合同签订违背招标文件实质性条款，施工总承包等合同有关条款背离招标文件和招标承诺，最终造成损失浪费；未按合同约定时间、方式支付工程款，未经造价审核支付工程款，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shd w:val="clear" w:color="auto" w:fill="auto"/>
          <w:lang w:bidi="ar"/>
        </w:rPr>
        <w:t>重复多计工程结算价款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shd w:val="clear" w:color="auto" w:fill="FFFFFF"/>
          <w:lang w:eastAsia="zh-CN" w:bidi="ar"/>
        </w:rPr>
        <w:t>。</w:t>
      </w:r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四）工程建设管理不到位。工程以次充好、偷工减料；工期不合理或抢工期造成质量问题；施工未达设计要求，存在质量安全隐患。因管理不善导致工程项目建设进度严重滞后。施工现场安全措施落实不到位，易引起安全隐患的。隐蔽工程记录不及时或不真实，对造价影响较大的。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   （五）工程后续管理不规范。如职责缺失，导致工程项目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shd w:val="clear" w:color="auto" w:fill="auto"/>
          <w:lang w:bidi="ar"/>
        </w:rPr>
        <w:t>建成后长期闲置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；已完工项目未及时进行结算、竣工财务决算及竣工验收，造成国有资产损失浪费。</w:t>
      </w:r>
    </w:p>
    <w:p>
      <w:pPr>
        <w:pStyle w:val="5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（六）其他相关重大工程建设管理问题。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第七条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 资金资产资源管理和经济风险防控方面一般包括以下类型问题：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一）政府采购不规范。采取拆分项目方式，“化整为零”规避集中采购、公开招标、单一来源采购依据不足，没有按照合同约定对所采购的资产和服务进行验收。本部门职责范围内重要工作通过政府购买服务方式外包。</w:t>
      </w: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（二）重大资产管理不到位。资产出租等处置不规范，未按规定审批和公开招标，资产管理不善，长期空置，造成损失浪费。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   （三）资金使用管理不到位。挤占挪用资金；项目资金存在使用绩效不高，导致损失浪费等情况。</w:t>
      </w: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（四）矿产资源管理不到位。越界开采、无证开采、矿山生态环境修复治理不到位，矿山废料、工程性石料处置不规范等。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五）国企存在运营和债务风险隐患。国企项目运营管理不善，导致国有资产损失浪费；国企实际筹融资能力和经营管理能力不匹配，未考虑市场形式，降低融资成本等，存在融资风险。以贸易合作、股权投资为名，向不具有股权关系的企业出借资金或提供信用担保，造成国有资产损失。偏离核心主业，盲目扩大经营业务导致经营风险。</w:t>
      </w: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（六）其他相关资金资产资源管理和经济风险防控方面问题。 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　　</w:t>
      </w:r>
      <w:r>
        <w:rPr>
          <w:rFonts w:hint="eastAsia" w:ascii="黑体" w:hAnsi="黑体" w:eastAsia="黑体" w:cs="黑体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第八条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 重大问题责任认定总体参照经责审计“五审五评”，同时应把握以下原则和要求：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　　（一）牢牢把握“审计机关首先是政治机关”“审计监督首先是经济监督”的定位，把讲政治贯穿审计工作始终，善于用政治眼光观察和分析经济社会问题，通过监督检查经济问题、经济责任，反映政治问题、政治责任。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　　（二）牢固树立“审事评人”理念，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" w:eastAsia="zh-CN" w:bidi="ar"/>
        </w:rPr>
        <w:t>以研究思维贯穿于审计全过程，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深入查找问题根源，深挖背后的体制机制问题，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运用系统性和全局性思维揭示重点问题。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　　（三）提高责任链条完整度，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lang w:val="en-US" w:eastAsia="zh-CN" w:bidi="ar-SA"/>
        </w:rPr>
        <w:t>按照权责一致原则，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根据权力运行环节梳理责任链条，全过程分析各环节责任人的参与程度、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履职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尽责情况、所起的作用及导致结果，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客观审慎界定责任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（四）提升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责任界定精准度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，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做到内容精准、重点突出、评价客观、定性恰当，既要统一定责的口径和尺度，做到一把尺子量到底，防止定责的主观随意性，防止同样问题有的定责有的不定责；又要考虑时代背景、主客观因素、产生的后果等，防止简单地一刀切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br w:type="textWrapping"/>
      </w:r>
      <w:r>
        <w:rPr>
          <w:rFonts w:hint="eastAsia" w:hAnsi="仿宋_GB2312" w:cs="仿宋_GB2312"/>
          <w:sz w:val="32"/>
          <w:szCs w:val="32"/>
          <w:lang w:val="en-US" w:eastAsia="zh-CN" w:bidi="ar-SA"/>
        </w:rPr>
        <w:t>　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（</w:t>
      </w:r>
      <w:r>
        <w:rPr>
          <w:rFonts w:hint="eastAsia" w:hAnsi="仿宋_GB2312" w:cs="仿宋_GB2312"/>
          <w:sz w:val="32"/>
          <w:szCs w:val="32"/>
          <w:lang w:val="en-US" w:eastAsia="zh-CN" w:bidi="ar-SA"/>
        </w:rPr>
        <w:t>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）按照“三个区分开来”原则，对符合容错免责条件的问题进行免责。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0" w:firstLineChars="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　　</w:t>
      </w:r>
      <w:r>
        <w:rPr>
          <w:rFonts w:hint="eastAsia" w:ascii="黑体" w:hAnsi="黑体" w:eastAsia="黑体" w:cs="黑体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第九条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 重大问题责任认定实行全过程管理：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（一）</w:t>
      </w:r>
      <w:r>
        <w:rPr>
          <w:rFonts w:hint="eastAsia" w:ascii="仿宋_GB2312" w:hAnsi="仿宋_GB2312" w:eastAsia="仿宋_GB2312" w:cs="仿宋_GB2312"/>
          <w:color w:val="auto"/>
          <w:spacing w:val="0"/>
          <w:kern w:val="2"/>
          <w:sz w:val="32"/>
          <w:szCs w:val="32"/>
          <w:shd w:val="clear" w:color="auto" w:fill="auto"/>
          <w:lang w:val="en-US" w:eastAsia="zh-CN" w:bidi="ar-SA"/>
        </w:rPr>
        <w:t>重大问题责任认定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实行审计组长负责制，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其他审计人员对分工的审计问题负责。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（二）审计人员在现场实施阶段，对照第七条的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原则和要求，梳理需要进行责任认定的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highlight w:val="none"/>
          <w:shd w:val="clear" w:color="auto" w:fill="FFFFFF"/>
          <w:lang w:val="en-US" w:eastAsia="zh-CN" w:bidi="ar"/>
        </w:rPr>
        <w:t>重大问题清单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（三）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重大问题责任认定事项纳入项目中期汇报会议议程，与会人员对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审计组提出的重大问题责任清单进行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逐项研判，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最终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确定需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进行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责任认定的重大问题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（四）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审计组对会议议定的重大问题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，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通过查阅资料、询问谈话等多种方式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，进行全链条的责任认定，并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充分听取各当事人意见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（五）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经济责任项目应编制取证单、工作底稿等形式对责任进行全链条的描述，非经济责任项目应编制重要管理事项记录（附件1）对责任进行全链条的描述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，包括经办人、科室负责人、分管领导、主要领导在事件中所起的作用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（六）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所有项目均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应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及时填报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" w:eastAsia="zh-CN" w:bidi="ar"/>
        </w:rPr>
        <w:t>审计发现重大问题责任认定清单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（附件2），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在审计报告出具1个月内由审计组组长负责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报经责科统一归集管理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，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以备后续与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纪检部门、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组织部门对接调取。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（七）纸质资料</w:t>
      </w:r>
      <w:r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由审计组长纳入审计项目档案</w:t>
      </w:r>
      <w:r>
        <w:rPr>
          <w:rFonts w:hint="eastAsia" w:hAnsi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管理。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caps w:val="0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第十条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 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shd w:val="clear" w:color="auto" w:fill="FFFFFF"/>
          <w:lang w:bidi="ar"/>
        </w:rPr>
        <w:t>审计人员对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重大问题责任认定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kern w:val="0"/>
          <w:sz w:val="32"/>
          <w:szCs w:val="32"/>
          <w:shd w:val="clear" w:color="auto" w:fill="FFFFFF"/>
          <w:lang w:bidi="ar"/>
        </w:rPr>
        <w:t>负有保密义务。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cs="仿宋_GB2312"/>
          <w:color w:val="171A1D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eastAsia="黑体" w:cs="黑体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第十一条</w:t>
      </w:r>
      <w:r>
        <w:rPr>
          <w:rFonts w:hint="eastAsia" w:ascii="仿宋_GB2312" w:eastAsia="仿宋_GB2312" w:cs="仿宋_GB2312"/>
          <w:color w:val="171A1D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 本办法由经责科负责解释，自印发之日起试行。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1156E"/>
    <w:rsid w:val="0FE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next w:val="1"/>
    <w:qFormat/>
    <w:uiPriority w:val="0"/>
    <w:pPr>
      <w:ind w:right="0" w:firstLine="100" w:firstLineChars="100"/>
    </w:pPr>
    <w:rPr>
      <w:rFonts w:ascii="Times New Roman" w:hAnsi="Times New Roman" w:eastAsia="宋体" w:cs="Times New Roman"/>
      <w:sz w:val="28"/>
      <w:szCs w:val="20"/>
      <w:lang w:bidi="ar-SA"/>
    </w:rPr>
  </w:style>
  <w:style w:type="paragraph" w:styleId="3">
    <w:name w:val="Body Text"/>
    <w:basedOn w:val="1"/>
    <w:qFormat/>
    <w:uiPriority w:val="0"/>
    <w:pPr>
      <w:ind w:right="214"/>
    </w:pPr>
    <w:rPr>
      <w:rFonts w:ascii="仿宋_GB2312" w:eastAsia="仿宋_GB2312"/>
      <w:sz w:val="32"/>
    </w:rPr>
  </w:style>
  <w:style w:type="paragraph" w:styleId="4">
    <w:name w:val="Body Text Indent"/>
    <w:basedOn w:val="1"/>
    <w:qFormat/>
    <w:uiPriority w:val="0"/>
    <w:pPr>
      <w:ind w:firstLine="630"/>
    </w:pPr>
    <w:rPr>
      <w:rFonts w:ascii="仿宋_GB2312" w:eastAsia="仿宋_GB2312"/>
      <w:sz w:val="32"/>
    </w:rPr>
  </w:style>
  <w:style w:type="paragraph" w:styleId="5">
    <w:name w:val="Body Text First Indent 2"/>
    <w:basedOn w:val="4"/>
    <w:qFormat/>
    <w:uiPriority w:val="0"/>
    <w:pPr>
      <w:ind w:firstLine="200" w:firstLineChars="200"/>
    </w:pPr>
    <w:rPr>
      <w:rFonts w:ascii="Calibri" w:hAnsi="Calibri" w:eastAsia="宋体"/>
      <w:sz w:val="3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Office_11.8.2.9086_F1E327BC-269C-435d-A152-05C5408002CA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2024-12-11T07:03:00Z</dcterms:created>
  <dc:creator>曾玲莉</dc:creator>
  <cp:lastModifiedBy>曾玲莉</cp:lastModifiedBy>
  <dcterms:modified xsi:type="dcterms:W3CDTF">2024-12-11T07:03:58Z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2052-11.8.2.9086</vt:lpwstr>
  </property>
</Properties>
</file>