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534B9E" w14:textId="2C5C6996" w:rsidR="001D079E" w:rsidRPr="00511B30" w:rsidRDefault="001D079E">
      <w:r w:rsidRPr="00511B30">
        <w:t>file_</w:t>
      </w:r>
      <w:r>
        <w:t>19</w:t>
      </w:r>
      <w:r w:rsidRPr="00511B30">
        <w:t>.docx</w:t>
      </w:r>
    </w:p>
    <w:p w14:paraId="418F069C" w14:textId="790760C3" w:rsidR="009F2E95" w:rsidRDefault="00AE33D1">
      <w:r>
        <w:t>The Pot-Pourri Compendium</w:t>
      </w:r>
    </w:p>
    <w:p w14:paraId="26FD5661" w14:textId="77777777" w:rsidR="009F2E95" w:rsidRDefault="00AE33D1">
      <w:r>
        <w:t>A Sampler Document for Extraction Testing</w:t>
      </w:r>
    </w:p>
    <w:p w14:paraId="5FE79A8F" w14:textId="77777777" w:rsidR="009F2E95" w:rsidRDefault="00AE33D1">
      <w:r>
        <w:t>This document is intentionally varied</w:t>
      </w:r>
      <w:commentRangeStart w:id="0"/>
      <w:r>
        <w:t>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</w:t>
      </w:r>
      <w:commentRangeEnd w:id="0"/>
      <w:r>
        <w:rPr>
          <w:rStyle w:val="CommentReference"/>
          <w:b/>
          <w:sz w:val="22"/>
          <w:szCs w:val="22"/>
        </w:rPr>
        <w:commentReference w:id="0"/>
      </w:r>
      <w:r>
        <w:rPr>
          <w:b/>
        </w:rPr>
        <w:t>See note.</w:t>
      </w:r>
      <w:hyperlink w:anchor="footnote-1">
        <w:r>
          <w:rPr>
            <w:rStyle w:val="Hyperlink"/>
            <w:vertAlign w:val="superscript"/>
          </w:rPr>
          <w:t>[1]</w:t>
        </w:r>
      </w:hyperlink>
      <w:r>
        <w:t>﻿</w:t>
      </w:r>
    </w:p>
    <w:p w14:paraId="3C9BCD17" w14:textId="77777777" w:rsidR="009F2E95" w:rsidRDefault="00AE33D1">
      <w:pPr>
        <w:pStyle w:val="Heading1"/>
      </w:pPr>
      <w:r>
        <w:t>1. Typography Samples</w:t>
      </w:r>
    </w:p>
    <w:p w14:paraId="4017BF5A" w14:textId="77777777" w:rsidR="009F2E95" w:rsidRDefault="00AE33D1">
      <w:r>
        <w:t>Below are inline runs with mixed formatting. Each run is a separate span so an extractor can detect boundaries.</w:t>
      </w:r>
    </w:p>
    <w:p w14:paraId="6A14AAEC" w14:textId="77777777" w:rsidR="009F2E95" w:rsidRDefault="00AE33D1">
      <w:r>
        <w:rPr>
          <w:b/>
        </w:rPr>
        <w:t>Bold blue, italic red, underlined green, yellow-highlighted, strikethrough, monospace.</w:t>
      </w:r>
    </w:p>
    <w:p w14:paraId="35EE07A9" w14:textId="77777777" w:rsidR="009F2E95" w:rsidRDefault="00AE33D1">
      <w:pPr>
        <w:pStyle w:val="Heading1"/>
      </w:pPr>
      <w:r>
        <w:t>2. Lists</w:t>
      </w:r>
    </w:p>
    <w:p w14:paraId="07A8B5C4" w14:textId="77777777" w:rsidR="009F2E95" w:rsidRDefault="00AE33D1">
      <w:pPr>
        <w:pStyle w:val="Heading2"/>
      </w:pPr>
      <w:r>
        <w:t>2.1 Bulleted</w:t>
      </w:r>
    </w:p>
    <w:p w14:paraId="6E51CBBC" w14:textId="77777777" w:rsidR="009F2E95" w:rsidRDefault="00AE33D1">
      <w:r>
        <w:t xml:space="preserve">Apples </w:t>
      </w:r>
      <w:r>
        <w:t>—</w:t>
      </w:r>
      <w:r>
        <w:t xml:space="preserve"> a pomaceous fruit</w:t>
      </w:r>
    </w:p>
    <w:p w14:paraId="5301D997" w14:textId="77777777" w:rsidR="009F2E95" w:rsidRDefault="00AE33D1">
      <w:r>
        <w:t xml:space="preserve">Bourbon </w:t>
      </w:r>
      <w:r>
        <w:t>—</w:t>
      </w:r>
      <w:r>
        <w:t xml:space="preserve"> distilled in Kentucky</w:t>
      </w:r>
    </w:p>
    <w:p w14:paraId="09055E16" w14:textId="77777777" w:rsidR="009F2E95" w:rsidRDefault="00AE33D1">
      <w:r>
        <w:t xml:space="preserve">Cardamom </w:t>
      </w:r>
      <w:r>
        <w:t>—</w:t>
      </w:r>
      <w:r>
        <w:t xml:space="preserve"> a fragrant spice</w:t>
      </w:r>
    </w:p>
    <w:p w14:paraId="2DF71882" w14:textId="77777777" w:rsidR="009F2E95" w:rsidRDefault="00AE33D1">
      <w:pPr>
        <w:pStyle w:val="Heading2"/>
      </w:pPr>
      <w:r>
        <w:t>2.2 Numbered (with nested)</w:t>
      </w:r>
    </w:p>
    <w:p w14:paraId="7B73F4A3" w14:textId="77777777" w:rsidR="009F2E95" w:rsidRDefault="00AE33D1">
      <w:r>
        <w:t>Preheat the oven to 375</w:t>
      </w:r>
      <w:r>
        <w:t>°</w:t>
      </w:r>
      <w:r>
        <w:t>F.</w:t>
      </w:r>
    </w:p>
    <w:p w14:paraId="2A7D0102" w14:textId="77777777" w:rsidR="009F2E95" w:rsidRDefault="00AE33D1">
      <w:r>
        <w:t>Whisk dry ingredients.</w:t>
      </w:r>
    </w:p>
    <w:p w14:paraId="189C83DE" w14:textId="77777777" w:rsidR="009F2E95" w:rsidRDefault="00AE33D1">
      <w:r>
        <w:t>Sift the flour twice.</w:t>
      </w:r>
    </w:p>
    <w:p w14:paraId="477BA2D5" w14:textId="77777777" w:rsidR="009F2E95" w:rsidRDefault="00AE33D1">
      <w:r>
        <w:t>Add a pinch of salt.</w:t>
      </w:r>
    </w:p>
    <w:p w14:paraId="6D228E48" w14:textId="77777777" w:rsidR="009F2E95" w:rsidRDefault="00AE33D1">
      <w:r>
        <w:t>Bake for 22 minutes.</w:t>
      </w:r>
    </w:p>
    <w:p w14:paraId="61B9563E" w14:textId="77777777" w:rsidR="009F2E95" w:rsidRDefault="00AE33D1">
      <w:pPr>
        <w:pStyle w:val="Heading1"/>
      </w:pPr>
      <w:r>
        <w:t>3. Tabular Data</w:t>
      </w:r>
    </w:p>
    <w:p w14:paraId="1E2E6C8E" w14:textId="77777777" w:rsidR="009F2E95" w:rsidRDefault="00AE33D1"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310"/>
        <w:gridCol w:w="2110"/>
        <w:gridCol w:w="2110"/>
        <w:gridCol w:w="2110"/>
      </w:tblGrid>
      <w:tr w:rsidR="009F2E95" w14:paraId="3B594645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0749DE" w14:textId="77777777" w:rsidR="009F2E95" w:rsidRDefault="00AE33D1"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A9B207" w14:textId="77777777" w:rsidR="009F2E95" w:rsidRDefault="00AE33D1"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91F6B11" w14:textId="77777777" w:rsidR="009F2E95" w:rsidRDefault="00AE33D1"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5B51AE" w14:textId="77777777" w:rsidR="009F2E95" w:rsidRDefault="00AE33D1">
            <w:r>
              <w:t>Q3</w:t>
            </w:r>
          </w:p>
        </w:tc>
      </w:tr>
      <w:tr w:rsidR="009F2E95" w14:paraId="33DD49A2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E99889" w14:textId="77777777" w:rsidR="009F2E95" w:rsidRDefault="00AE33D1">
            <w:r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8DA6F3" w14:textId="77777777" w:rsidR="009F2E95" w:rsidRDefault="00AE33D1"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4A7066" w14:textId="77777777" w:rsidR="009F2E95" w:rsidRDefault="00AE33D1"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C6D4C5" w14:textId="77777777" w:rsidR="009F2E95" w:rsidRDefault="00AE33D1">
            <w:r>
              <w:t>$150k</w:t>
            </w:r>
          </w:p>
        </w:tc>
      </w:tr>
      <w:tr w:rsidR="009F2E95" w14:paraId="25977479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5E8AF1" w14:textId="77777777" w:rsidR="009F2E95" w:rsidRDefault="00AE33D1"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051725" w14:textId="77777777" w:rsidR="009F2E95" w:rsidRDefault="00AE33D1"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55A6E2" w14:textId="77777777" w:rsidR="009F2E95" w:rsidRDefault="00AE33D1"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EFE7AC" w14:textId="77777777" w:rsidR="009F2E95" w:rsidRDefault="00AE33D1">
            <w:r>
              <w:t>$128k</w:t>
            </w:r>
          </w:p>
        </w:tc>
      </w:tr>
      <w:tr w:rsidR="009F2E95" w14:paraId="78900E3F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5C0845" w14:textId="77777777" w:rsidR="009F2E95" w:rsidRDefault="00AE33D1">
            <w:r>
              <w:lastRenderedPageBreak/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B60F63" w14:textId="77777777" w:rsidR="009F2E95" w:rsidRDefault="00AE33D1"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793E61" w14:textId="77777777" w:rsidR="009F2E95" w:rsidRDefault="00AE33D1"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ADAFE" w14:textId="77777777" w:rsidR="009F2E95" w:rsidRDefault="00AE33D1">
            <w:r>
              <w:t>$162k</w:t>
            </w:r>
          </w:p>
        </w:tc>
      </w:tr>
      <w:tr w:rsidR="009F2E95" w14:paraId="79873E6F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7F8E22" w14:textId="77777777" w:rsidR="009F2E95" w:rsidRDefault="00AE33D1"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7C82F2" w14:textId="77777777" w:rsidR="009F2E95" w:rsidRDefault="00AE33D1"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B85A86" w14:textId="77777777" w:rsidR="009F2E95" w:rsidRDefault="00AE33D1"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75B3FF" w14:textId="77777777" w:rsidR="009F2E95" w:rsidRDefault="00AE33D1">
            <w:r>
              <w:t>$104k</w:t>
            </w:r>
          </w:p>
        </w:tc>
      </w:tr>
    </w:tbl>
    <w:p w14:paraId="547331D1" w14:textId="77777777" w:rsidR="009F2E95" w:rsidRDefault="009F2E95"/>
    <w:p w14:paraId="624B04C0" w14:textId="77777777" w:rsidR="009F2E95" w:rsidRDefault="00AE33D1">
      <w:pPr>
        <w:pStyle w:val="Heading1"/>
      </w:pPr>
      <w:r>
        <w:t>4. Quote &amp; Link</w:t>
      </w:r>
    </w:p>
    <w:p w14:paraId="7302342E" w14:textId="77777777" w:rsidR="009F2E95" w:rsidRDefault="00AE33D1">
      <w:r>
        <w:t>“</w:t>
      </w:r>
      <w:r>
        <w:t>Not all those who wander are lost.</w:t>
      </w:r>
      <w:r>
        <w:t>”</w:t>
      </w:r>
      <w:r>
        <w:t xml:space="preserve"> </w:t>
      </w:r>
      <w:r>
        <w:t>—</w:t>
      </w:r>
      <w:r>
        <w:t xml:space="preserve"> a line often quoted to test block-quote handling.</w:t>
      </w:r>
    </w:p>
    <w:p w14:paraId="3698C145" w14:textId="77777777" w:rsidR="009F2E95" w:rsidRDefault="00AE33D1">
      <w:r>
        <w:t xml:space="preserve">More information available at our </w:t>
      </w:r>
      <w:hyperlink r:id="rId8">
        <w:r>
          <w:rPr>
            <w:rStyle w:val="Hyperlink"/>
          </w:rPr>
          <w:t>reference page</w:t>
        </w:r>
      </w:hyperlink>
      <w:r>
        <w:t>.</w:t>
      </w:r>
    </w:p>
    <w:p w14:paraId="1D3B57F3" w14:textId="77777777" w:rsidR="009F2E95" w:rsidRDefault="00AE33D1">
      <w:r>
        <w:t xml:space="preserve">This sentence carries a second footnote for testing multi-note extraction. </w:t>
      </w:r>
      <w:r>
        <w:t>†</w:t>
      </w:r>
      <w:hyperlink w:anchor="footnote-2">
        <w:r>
          <w:rPr>
            <w:rStyle w:val="Hyperlink"/>
            <w:vertAlign w:val="superscript"/>
          </w:rPr>
          <w:t>[2]</w:t>
        </w:r>
      </w:hyperlink>
      <w:r>
        <w:t>﻿</w:t>
      </w:r>
    </w:p>
    <w:p w14:paraId="08A9BDA1" w14:textId="77777777" w:rsidR="009F2E95" w:rsidRDefault="00AE33D1">
      <w:pPr>
        <w:pStyle w:val="Heading1"/>
      </w:pPr>
      <w:r>
        <w:t>5. Color Callouts</w:t>
      </w:r>
    </w:p>
    <w:p w14:paraId="72DC6D60" w14:textId="77777777" w:rsidR="009F2E95" w:rsidRDefault="00AE33D1">
      <w:r>
        <w:rPr>
          <w:b/>
        </w:rPr>
        <w:t>WARNING: Do not feed the extraction tool after midnight.</w:t>
      </w:r>
    </w:p>
    <w:p w14:paraId="0D5CFC4E" w14:textId="77777777" w:rsidR="009F2E95" w:rsidRDefault="00AE33D1">
      <w:r>
        <w:rPr>
          <w:b/>
        </w:rPr>
        <w:t>INFO: Tables, lists, and footnotes should each round-trip cleanly.</w:t>
      </w:r>
    </w:p>
    <w:p w14:paraId="4347FC8D" w14:textId="77777777" w:rsidR="009F2E95" w:rsidRDefault="00AE33D1">
      <w:r>
        <w:rPr>
          <w:i/>
        </w:rPr>
        <w:t>—</w:t>
      </w:r>
      <w:r>
        <w:rPr>
          <w:i/>
        </w:rPr>
        <w:t xml:space="preserve"> end of sample </w:t>
      </w:r>
      <w:r>
        <w:rPr>
          <w:i/>
        </w:rPr>
        <w:t>—</w:t>
      </w:r>
    </w:p>
    <w:p w14:paraId="3BB07A40" w14:textId="77777777" w:rsidR="009F2E95" w:rsidRDefault="00AE33D1">
      <w:r>
        <w:t>The Pot-Pourri Compendium</w:t>
      </w:r>
    </w:p>
    <w:p w14:paraId="7C4EB899" w14:textId="77777777" w:rsidR="009F2E95" w:rsidRDefault="00AE33D1">
      <w:r>
        <w:t>A Sampler Document for Extraction Testing</w:t>
      </w:r>
    </w:p>
    <w:p w14:paraId="730CAD21" w14:textId="77777777" w:rsidR="009F2E95" w:rsidRDefault="00AE33D1">
      <w:r>
        <w:t>This document is intentionally varied.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See note.</w:t>
      </w:r>
      <w:hyperlink w:anchor="footnote-3">
        <w:r>
          <w:rPr>
            <w:rStyle w:val="Hyperlink"/>
            <w:vertAlign w:val="superscript"/>
          </w:rPr>
          <w:t>[3]</w:t>
        </w:r>
      </w:hyperlink>
      <w:r>
        <w:t>﻿</w:t>
      </w:r>
    </w:p>
    <w:p w14:paraId="485ACC3D" w14:textId="77777777" w:rsidR="009F2E95" w:rsidRDefault="00AE33D1">
      <w:pPr>
        <w:pStyle w:val="Heading1"/>
      </w:pPr>
      <w:r>
        <w:t>1. Typography Samples</w:t>
      </w:r>
    </w:p>
    <w:p w14:paraId="5E5A26BC" w14:textId="77777777" w:rsidR="009F2E95" w:rsidRDefault="00AE33D1">
      <w:r>
        <w:t>Below are inline runs with mixed formatting. Each run is a separate span so an extractor can detect boundaries.</w:t>
      </w:r>
    </w:p>
    <w:p w14:paraId="438CEDB0" w14:textId="77777777" w:rsidR="009F2E95" w:rsidRDefault="00AE33D1">
      <w:r>
        <w:rPr>
          <w:b/>
        </w:rPr>
        <w:t>Bold blue, italic red, underlined green, yellow-highlighted, strikethrough, monospace.</w:t>
      </w:r>
    </w:p>
    <w:p w14:paraId="1087484A" w14:textId="77777777" w:rsidR="009F2E95" w:rsidRDefault="00AE33D1">
      <w:pPr>
        <w:pStyle w:val="Heading1"/>
      </w:pPr>
      <w:r>
        <w:t>2. Lists</w:t>
      </w:r>
    </w:p>
    <w:p w14:paraId="30ED0012" w14:textId="77777777" w:rsidR="009F2E95" w:rsidRDefault="00AE33D1">
      <w:pPr>
        <w:pStyle w:val="Heading2"/>
      </w:pPr>
      <w:r>
        <w:t>2.1 Bulleted</w:t>
      </w:r>
    </w:p>
    <w:p w14:paraId="0F288D6E" w14:textId="77777777" w:rsidR="009F2E95" w:rsidRDefault="00AE33D1">
      <w:r>
        <w:t xml:space="preserve">Apples </w:t>
      </w:r>
      <w:r>
        <w:t>—</w:t>
      </w:r>
      <w:r>
        <w:t xml:space="preserve"> a pomaceous fruit</w:t>
      </w:r>
    </w:p>
    <w:p w14:paraId="21C6751A" w14:textId="77777777" w:rsidR="009F2E95" w:rsidRDefault="00AE33D1">
      <w:r>
        <w:t xml:space="preserve">Bourbon </w:t>
      </w:r>
      <w:r>
        <w:t>—</w:t>
      </w:r>
      <w:r>
        <w:t xml:space="preserve"> distilled in Kentucky</w:t>
      </w:r>
    </w:p>
    <w:p w14:paraId="55872C81" w14:textId="77777777" w:rsidR="009F2E95" w:rsidRDefault="00AE33D1">
      <w:r>
        <w:t xml:space="preserve">Cardamom </w:t>
      </w:r>
      <w:r>
        <w:t>—</w:t>
      </w:r>
      <w:r>
        <w:t xml:space="preserve"> a fragrant spice</w:t>
      </w:r>
    </w:p>
    <w:p w14:paraId="3DC32455" w14:textId="77777777" w:rsidR="009F2E95" w:rsidRDefault="00AE33D1">
      <w:pPr>
        <w:pStyle w:val="Heading2"/>
      </w:pPr>
      <w:r>
        <w:t>2.2 Numbered (with nested)</w:t>
      </w:r>
    </w:p>
    <w:p w14:paraId="0255B80F" w14:textId="77777777" w:rsidR="009F2E95" w:rsidRDefault="00AE33D1">
      <w:r>
        <w:t>Preheat the oven to 375</w:t>
      </w:r>
      <w:r>
        <w:t>°</w:t>
      </w:r>
      <w:r>
        <w:t>F.</w:t>
      </w:r>
    </w:p>
    <w:p w14:paraId="2D82CF7F" w14:textId="77777777" w:rsidR="009F2E95" w:rsidRDefault="00AE33D1">
      <w:r>
        <w:t>Whisk dry ingredients.</w:t>
      </w:r>
    </w:p>
    <w:p w14:paraId="0E5F0FE3" w14:textId="77777777" w:rsidR="009F2E95" w:rsidRDefault="00AE33D1">
      <w:r>
        <w:t>Sift the flour twice.</w:t>
      </w:r>
    </w:p>
    <w:p w14:paraId="6FF12C49" w14:textId="77777777" w:rsidR="009F2E95" w:rsidRDefault="00AE33D1">
      <w:r>
        <w:t>Add a pinch of salt.</w:t>
      </w:r>
    </w:p>
    <w:p w14:paraId="123CEEE6" w14:textId="77777777" w:rsidR="009F2E95" w:rsidRDefault="00AE33D1">
      <w:r>
        <w:t>Bake for 22 minutes.</w:t>
      </w:r>
    </w:p>
    <w:p w14:paraId="46A5A321" w14:textId="77777777" w:rsidR="009F2E95" w:rsidRDefault="00AE33D1">
      <w:pPr>
        <w:pStyle w:val="Heading1"/>
      </w:pPr>
      <w:r>
        <w:t>3. Tabular Data</w:t>
      </w:r>
    </w:p>
    <w:p w14:paraId="5B6FFDF5" w14:textId="77777777" w:rsidR="009F2E95" w:rsidRDefault="00AE33D1"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310"/>
        <w:gridCol w:w="2110"/>
        <w:gridCol w:w="2110"/>
        <w:gridCol w:w="2110"/>
      </w:tblGrid>
      <w:tr w:rsidR="009F2E95" w14:paraId="2443465B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6E7917" w14:textId="77777777" w:rsidR="009F2E95" w:rsidRDefault="00AE33D1"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286670" w14:textId="77777777" w:rsidR="009F2E95" w:rsidRDefault="00AE33D1"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EE8C90" w14:textId="77777777" w:rsidR="009F2E95" w:rsidRDefault="00AE33D1"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933ACA" w14:textId="77777777" w:rsidR="009F2E95" w:rsidRDefault="00AE33D1">
            <w:r>
              <w:t>Q3</w:t>
            </w:r>
          </w:p>
        </w:tc>
      </w:tr>
      <w:tr w:rsidR="009F2E95" w14:paraId="761A1663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EEC4E9" w14:textId="77777777" w:rsidR="009F2E95" w:rsidRDefault="00AE33D1">
            <w:r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04ECCC" w14:textId="77777777" w:rsidR="009F2E95" w:rsidRDefault="00AE33D1"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FD12E4" w14:textId="77777777" w:rsidR="009F2E95" w:rsidRDefault="00AE33D1"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CAAB4B" w14:textId="77777777" w:rsidR="009F2E95" w:rsidRDefault="00AE33D1">
            <w:r>
              <w:t>$150k</w:t>
            </w:r>
          </w:p>
        </w:tc>
      </w:tr>
      <w:tr w:rsidR="009F2E95" w14:paraId="2E9FF227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D9D25E" w14:textId="77777777" w:rsidR="009F2E95" w:rsidRDefault="00AE33D1"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684A78" w14:textId="77777777" w:rsidR="009F2E95" w:rsidRDefault="00AE33D1"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FDD421" w14:textId="77777777" w:rsidR="009F2E95" w:rsidRDefault="00AE33D1"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BFDD76" w14:textId="77777777" w:rsidR="009F2E95" w:rsidRDefault="00AE33D1">
            <w:r>
              <w:t>$128k</w:t>
            </w:r>
          </w:p>
        </w:tc>
      </w:tr>
      <w:tr w:rsidR="009F2E95" w14:paraId="58520FEE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19866D" w14:textId="77777777" w:rsidR="009F2E95" w:rsidRDefault="00AE33D1">
            <w:r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46EFA4" w14:textId="77777777" w:rsidR="009F2E95" w:rsidRDefault="00AE33D1"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6463F0" w14:textId="77777777" w:rsidR="009F2E95" w:rsidRDefault="00AE33D1"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5A9D51" w14:textId="77777777" w:rsidR="009F2E95" w:rsidRDefault="00AE33D1">
            <w:r>
              <w:t>$162k</w:t>
            </w:r>
          </w:p>
        </w:tc>
      </w:tr>
      <w:tr w:rsidR="009F2E95" w14:paraId="5FA568E3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39FFB1" w14:textId="77777777" w:rsidR="009F2E95" w:rsidRDefault="00AE33D1"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130829" w14:textId="77777777" w:rsidR="009F2E95" w:rsidRDefault="00AE33D1"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2CE516" w14:textId="77777777" w:rsidR="009F2E95" w:rsidRDefault="00AE33D1"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5D4ED0" w14:textId="77777777" w:rsidR="009F2E95" w:rsidRDefault="00AE33D1">
            <w:r>
              <w:t>$104k</w:t>
            </w:r>
          </w:p>
        </w:tc>
      </w:tr>
    </w:tbl>
    <w:p w14:paraId="67B5B8CF" w14:textId="77777777" w:rsidR="009F2E95" w:rsidRDefault="009F2E95"/>
    <w:p w14:paraId="417FD011" w14:textId="77777777" w:rsidR="009F2E95" w:rsidRDefault="00AE33D1">
      <w:r>
        <w:t>﻿</w:t>
      </w:r>
    </w:p>
    <w:p w14:paraId="5F5DE11C" w14:textId="77777777" w:rsidR="009F2E95" w:rsidRDefault="00AE33D1">
      <w:pPr>
        <w:pStyle w:val="Heading1"/>
      </w:pPr>
      <w:r>
        <w:t>4. Quote &amp; Link</w:t>
      </w:r>
    </w:p>
    <w:p w14:paraId="2F91CD35" w14:textId="77777777" w:rsidR="009F2E95" w:rsidRDefault="00AE33D1">
      <w:r>
        <w:t>“</w:t>
      </w:r>
      <w:r>
        <w:t>Not all those who wander are lost.</w:t>
      </w:r>
      <w:r>
        <w:t>”</w:t>
      </w:r>
      <w:r>
        <w:t xml:space="preserve"> </w:t>
      </w:r>
      <w:r>
        <w:t>—</w:t>
      </w:r>
      <w:r>
        <w:t xml:space="preserve"> a line often quoted to test block-quote handling.</w:t>
      </w:r>
    </w:p>
    <w:p w14:paraId="077A4286" w14:textId="77777777" w:rsidR="009F2E95" w:rsidRDefault="00AE33D1">
      <w:r>
        <w:t xml:space="preserve">More information available at our </w:t>
      </w:r>
      <w:hyperlink r:id="rId9">
        <w:r>
          <w:rPr>
            <w:rStyle w:val="Hyperlink"/>
          </w:rPr>
          <w:t>reference page</w:t>
        </w:r>
      </w:hyperlink>
      <w:r>
        <w:t>.</w:t>
      </w:r>
    </w:p>
    <w:p w14:paraId="7856C11A" w14:textId="77777777" w:rsidR="009F2E95" w:rsidRDefault="00AE33D1">
      <w:r>
        <w:t xml:space="preserve">This sentence carries a second footnote for testing multi-note extraction. </w:t>
      </w:r>
      <w:r>
        <w:t>†</w:t>
      </w:r>
      <w:hyperlink w:anchor="footnote-4">
        <w:r>
          <w:rPr>
            <w:rStyle w:val="Hyperlink"/>
            <w:vertAlign w:val="superscript"/>
          </w:rPr>
          <w:t>[4]</w:t>
        </w:r>
      </w:hyperlink>
      <w:r>
        <w:t>﻿</w:t>
      </w:r>
    </w:p>
    <w:p w14:paraId="333B0C04" w14:textId="77777777" w:rsidR="009F2E95" w:rsidRDefault="00AE33D1">
      <w:pPr>
        <w:pStyle w:val="Heading1"/>
      </w:pPr>
      <w:r>
        <w:t>5. Color Callouts</w:t>
      </w:r>
    </w:p>
    <w:p w14:paraId="7B48BBCF" w14:textId="77777777" w:rsidR="009F2E95" w:rsidRDefault="00AE33D1">
      <w:r>
        <w:rPr>
          <w:b/>
        </w:rPr>
        <w:t>WARNING: Do not feed the extraction tool after midnight.</w:t>
      </w:r>
    </w:p>
    <w:p w14:paraId="3059E38B" w14:textId="77777777" w:rsidR="009F2E95" w:rsidRDefault="00AE33D1">
      <w:r>
        <w:rPr>
          <w:b/>
        </w:rPr>
        <w:t>INFO: Tables, lists, and footnotes should each round-trip cleanly.</w:t>
      </w:r>
    </w:p>
    <w:p w14:paraId="037B2231" w14:textId="77777777" w:rsidR="009F2E95" w:rsidRDefault="00AE33D1">
      <w:r>
        <w:rPr>
          <w:i/>
        </w:rPr>
        <w:t>—</w:t>
      </w:r>
      <w:r>
        <w:rPr>
          <w:i/>
        </w:rPr>
        <w:t xml:space="preserve"> end of sample </w:t>
      </w:r>
      <w:r>
        <w:rPr>
          <w:i/>
        </w:rPr>
        <w:t>—</w:t>
      </w:r>
    </w:p>
    <w:p w14:paraId="25DB6B59" w14:textId="77777777" w:rsidR="009F2E95" w:rsidRDefault="00AE33D1">
      <w:r>
        <w:t>﻿</w:t>
      </w:r>
    </w:p>
    <w:p w14:paraId="6DB1FBFD" w14:textId="77777777" w:rsidR="009F2E95" w:rsidRDefault="00AE33D1">
      <w:r>
        <w:t>The Pot-Pourri Compendium</w:t>
      </w:r>
    </w:p>
    <w:p w14:paraId="601CFDC3" w14:textId="77777777" w:rsidR="009F2E95" w:rsidRDefault="00AE33D1">
      <w:r>
        <w:t>A Sampler Document for Extraction Testing</w:t>
      </w:r>
    </w:p>
    <w:p w14:paraId="53400E69" w14:textId="69AC1437" w:rsidR="009F2E95" w:rsidRDefault="00AE33D1">
      <w:r>
        <w:t>This document is intentionally block quote so an extraction tool has plenty to chew on.</w:t>
      </w:r>
      <w:r>
        <w:rPr>
          <w:b/>
        </w:rPr>
        <w:t xml:space="preserve"> Emphasis lives here. See note.</w:t>
      </w:r>
      <w:hyperlink w:anchor="footnote-5">
        <w:r>
          <w:rPr>
            <w:rStyle w:val="Hyperlink"/>
            <w:vertAlign w:val="superscript"/>
          </w:rPr>
          <w:t>[5]</w:t>
        </w:r>
      </w:hyperlink>
      <w:r>
        <w:t>﻿</w:t>
      </w:r>
    </w:p>
    <w:p w14:paraId="5B75B38D" w14:textId="77777777" w:rsidR="009F2E95" w:rsidRDefault="00AE33D1">
      <w:pPr>
        <w:pStyle w:val="Heading1"/>
      </w:pPr>
      <w:r>
        <w:t>1. Typography Samples</w:t>
      </w:r>
    </w:p>
    <w:p w14:paraId="4D760728" w14:textId="77777777" w:rsidR="009F2E95" w:rsidRDefault="00AE33D1">
      <w:r>
        <w:t>Below are inline runs with mixed formatting. Each run is a separate span so an extractor can detect boundaries.</w:t>
      </w:r>
    </w:p>
    <w:p w14:paraId="43FD68B1" w14:textId="77777777" w:rsidR="009F2E95" w:rsidRDefault="00AE33D1">
      <w:r>
        <w:rPr>
          <w:b/>
        </w:rPr>
        <w:t>Bold blue, italic red, underlined green, yellow-highlighted, strikethrough, monospace.</w:t>
      </w:r>
    </w:p>
    <w:p w14:paraId="6BA61C00" w14:textId="77777777" w:rsidR="009F2E95" w:rsidRDefault="00AE33D1">
      <w:pPr>
        <w:pStyle w:val="Heading1"/>
      </w:pPr>
      <w:r>
        <w:t>2. Lists</w:t>
      </w:r>
    </w:p>
    <w:p w14:paraId="5E8D13B3" w14:textId="77777777" w:rsidR="009F2E95" w:rsidRDefault="00AE33D1">
      <w:pPr>
        <w:pStyle w:val="Heading2"/>
      </w:pPr>
      <w:r>
        <w:t>2.1 Bulleted</w:t>
      </w:r>
    </w:p>
    <w:p w14:paraId="6539A2DA" w14:textId="77777777" w:rsidR="009F2E95" w:rsidRDefault="00AE33D1">
      <w:r>
        <w:t xml:space="preserve">Apples </w:t>
      </w:r>
      <w:r>
        <w:t>—</w:t>
      </w:r>
      <w:r>
        <w:t xml:space="preserve"> a pomaceous fruit</w:t>
      </w:r>
    </w:p>
    <w:p w14:paraId="6F296374" w14:textId="77777777" w:rsidR="009F2E95" w:rsidRDefault="00AE33D1">
      <w:r>
        <w:t xml:space="preserve">Bourbon </w:t>
      </w:r>
      <w:r>
        <w:t>—</w:t>
      </w:r>
      <w:r>
        <w:t xml:space="preserve"> distilled in Kentucky</w:t>
      </w:r>
    </w:p>
    <w:p w14:paraId="21D94650" w14:textId="77777777" w:rsidR="009F2E95" w:rsidRDefault="00AE33D1">
      <w:r>
        <w:t xml:space="preserve">Cardamom </w:t>
      </w:r>
      <w:r>
        <w:t>—</w:t>
      </w:r>
      <w:r>
        <w:t xml:space="preserve"> a fragrant spice</w:t>
      </w:r>
    </w:p>
    <w:p w14:paraId="276B3791" w14:textId="77777777" w:rsidR="009F2E95" w:rsidRDefault="00AE33D1">
      <w:pPr>
        <w:pStyle w:val="Heading2"/>
      </w:pPr>
      <w:r>
        <w:t>2.2 Numbered (with nested)</w:t>
      </w:r>
    </w:p>
    <w:p w14:paraId="573F7A9C" w14:textId="77777777" w:rsidR="009F2E95" w:rsidRDefault="00AE33D1">
      <w:r>
        <w:t>Preheat the oven to 375</w:t>
      </w:r>
      <w:r>
        <w:t>°</w:t>
      </w:r>
      <w:r>
        <w:t>F.</w:t>
      </w:r>
    </w:p>
    <w:p w14:paraId="394F90B5" w14:textId="77777777" w:rsidR="009F2E95" w:rsidRDefault="00AE33D1">
      <w:r>
        <w:t>Whisk dry ingredients.</w:t>
      </w:r>
    </w:p>
    <w:p w14:paraId="3C6F4805" w14:textId="77777777" w:rsidR="009F2E95" w:rsidRDefault="00AE33D1">
      <w:r>
        <w:t>Sift the flour twice.</w:t>
      </w:r>
    </w:p>
    <w:p w14:paraId="142AC09C" w14:textId="77777777" w:rsidR="009F2E95" w:rsidRDefault="00AE33D1">
      <w:r>
        <w:t>Add a pinch of salt.</w:t>
      </w:r>
    </w:p>
    <w:p w14:paraId="472BDD83" w14:textId="099068F0" w:rsidR="009F2E95" w:rsidRDefault="009F2E95"/>
    <w:p w14:paraId="78DDD74F" w14:textId="04166255" w:rsidR="009F2E95" w:rsidRDefault="009F2E95">
      <w:pPr>
        <w:pStyle w:val="Heading1"/>
      </w:pPr>
    </w:p>
    <w:p w14:paraId="7199E10A" w14:textId="69C7119F" w:rsidR="009F2E95" w:rsidRDefault="009F2E95"/>
    <w:p w14:paraId="375B39B0" w14:textId="77777777" w:rsidR="009F2E95" w:rsidRDefault="00AE33D1">
      <w:r>
        <w:t>﻿</w:t>
      </w:r>
    </w:p>
    <w:p w14:paraId="41C0F4EC" w14:textId="14FBEA30" w:rsidR="009F2E95" w:rsidRDefault="009F2E95">
      <w:pPr>
        <w:pStyle w:val="Heading1"/>
      </w:pPr>
    </w:p>
    <w:p w14:paraId="2280CF5D" w14:textId="24E6A16A" w:rsidR="009F2E95" w:rsidRDefault="009F2E95"/>
    <w:p w14:paraId="429FDD28" w14:textId="3ECB220B" w:rsidR="009F2E95" w:rsidRDefault="009F2E95"/>
    <w:p w14:paraId="09F40E1E" w14:textId="43987347" w:rsidR="009F2E95" w:rsidRDefault="00AE33D1">
      <w:hyperlink w:anchor="footnote-6"/>
      <w:r>
        <w:t>﻿</w:t>
      </w:r>
    </w:p>
    <w:p w14:paraId="72CE4C6B" w14:textId="4A8B4B9A" w:rsidR="009F2E95" w:rsidRDefault="009F2E95">
      <w:pPr>
        <w:pStyle w:val="Heading1"/>
      </w:pPr>
    </w:p>
    <w:p w14:paraId="6F569590" w14:textId="5CE0207F" w:rsidR="009F2E95" w:rsidRDefault="009F2E95"/>
    <w:p w14:paraId="67B49658" w14:textId="1D4B81E7" w:rsidR="009F2E95" w:rsidRDefault="009F2E95"/>
    <w:p w14:paraId="15F89081" w14:textId="3BF3C548" w:rsidR="009F2E95" w:rsidRDefault="009F2E95"/>
    <w:p w14:paraId="7BCC52DE" w14:textId="77777777" w:rsidR="009F2E95" w:rsidRDefault="00AE33D1">
      <w:r>
        <w:t xml:space="preserve">Footnote one: this footnote is attached to the introductory paragraph. </w:t>
      </w:r>
      <w:hyperlink w:anchor="footnote-ref-1">
        <w:r>
          <w:rPr>
            <w:rStyle w:val="Hyperlink"/>
          </w:rPr>
          <w:t>↑</w:t>
        </w:r>
      </w:hyperlink>
      <w:r>
        <w:t>﻿</w:t>
      </w:r>
    </w:p>
    <w:p w14:paraId="6893FCB7" w14:textId="77777777" w:rsidR="009F2E95" w:rsidRDefault="00AE33D1">
      <w:r>
        <w:t xml:space="preserve">Footnote two: cross-reference target for extraction tools that map markers to notes. </w:t>
      </w:r>
      <w:hyperlink w:anchor="footnote-ref-2">
        <w:r>
          <w:rPr>
            <w:rStyle w:val="Hyperlink"/>
          </w:rPr>
          <w:t>↑</w:t>
        </w:r>
      </w:hyperlink>
      <w:r>
        <w:t>﻿</w:t>
      </w:r>
    </w:p>
    <w:p w14:paraId="1052F23E" w14:textId="77777777" w:rsidR="009F2E95" w:rsidRDefault="00AE33D1">
      <w:r>
        <w:t xml:space="preserve"> Footnote one: this footnote is attached to the introductory paragraph. </w:t>
      </w:r>
      <w:hyperlink w:anchor="footnote-ref-3">
        <w:r>
          <w:rPr>
            <w:rStyle w:val="Hyperlink"/>
          </w:rPr>
          <w:t>↑</w:t>
        </w:r>
      </w:hyperlink>
      <w:r>
        <w:t>﻿</w:t>
      </w:r>
    </w:p>
    <w:p w14:paraId="5923EE5E" w14:textId="77777777" w:rsidR="009F2E95" w:rsidRDefault="00AE33D1">
      <w:r>
        <w:t xml:space="preserve"> Footnote two: cross-reference target for extraction tools that map markers to notes. </w:t>
      </w:r>
      <w:hyperlink w:anchor="footnote-ref-4">
        <w:r>
          <w:rPr>
            <w:rStyle w:val="Hyperlink"/>
          </w:rPr>
          <w:t>↑</w:t>
        </w:r>
      </w:hyperlink>
      <w:r>
        <w:t>﻿</w:t>
      </w:r>
    </w:p>
    <w:p w14:paraId="527C6EAE" w14:textId="77777777" w:rsidR="009F2E95" w:rsidRDefault="00AE33D1">
      <w:r>
        <w:t xml:space="preserve">Footnote one: this footnote is attached to the introductory paragraph. </w:t>
      </w:r>
      <w:hyperlink w:anchor="footnote-ref-5">
        <w:r>
          <w:rPr>
            <w:rStyle w:val="Hyperlink"/>
          </w:rPr>
          <w:t>↑</w:t>
        </w:r>
      </w:hyperlink>
      <w:r>
        <w:t>﻿</w:t>
      </w:r>
    </w:p>
    <w:p w14:paraId="0AAEDD95" w14:textId="11E42A70" w:rsidR="009F2E95" w:rsidRDefault="00AE33D1">
      <w:r>
        <w:t xml:space="preserve"> </w:t>
      </w:r>
      <w:hyperlink w:anchor="footnote-ref-6">
        <w:r>
          <w:rPr>
            <w:rStyle w:val="Hyperlink"/>
          </w:rPr>
          <w:t>↑</w:t>
        </w:r>
      </w:hyperlink>
      <w:r>
        <w:t>﻿</w:t>
      </w:r>
    </w:p>
    <w:sectPr w:rsidR="009F2E95" w:rsidSect="00511B30"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5-02T10:42:00Z" w:initials="AS">
    <w:p w14:paraId="79D30FEF" w14:textId="77777777" w:rsidR="009F2E95" w:rsidRDefault="00AE33D1">
      <w:r>
        <w:annotationRef/>
      </w:r>
      <w:r>
        <w:rPr>
          <w:color w:val="000000"/>
          <w:sz w:val="20"/>
          <w:szCs w:val="20"/>
        </w:rPr>
        <w:t>Testing.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E95"/>
    <w:rsid w:val="001D079E"/>
    <w:rsid w:val="003D521F"/>
    <w:rsid w:val="00511B30"/>
    <w:rsid w:val="008A5608"/>
    <w:rsid w:val="009F2E95"/>
    <w:rsid w:val="00AF0231"/>
    <w:rsid w:val="00CC3A05"/>
    <w:rsid w:val="00D53FE7"/>
    <w:rsid w:val="00E6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reference" TargetMode="Externa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hyperlink" Target="https://example.com/refer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