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12_document.jpeg" ContentType="image/jpe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tbl>
      <w:tblPr>
        <w:tblStyle w:val="Table1"/>
        <w:tblW w:w="903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5"/>
        <w:gridCol w:w="4545"/>
        <w:tblGridChange w:id="0">
          <w:tblGrid>
            <w:gridCol w:w="4485"/>
            <w:gridCol w:w="4545"/>
          </w:tblGrid>
        </w:tblGridChange>
      </w:tblGrid>
      <w:tr>
        <w:trPr>
          <w:trHeight w:val="3220" w:hRule="atLeast"/>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2">
            <w:pPr>
              <w:pStyle w:val="Title"/>
              <w:spacing w:after="120" w:line="276" w:lineRule="auto"/>
              <w:rPr>
                <w:sz w:val="36"/>
                <w:szCs w:val="36"/>
              </w:rPr>
            </w:pPr>
            <w:bookmarkStart w:colFirst="0" w:colLast="0" w:name="_gg5v3fi7njy0" w:id="0"/>
            <w:bookmarkEnd w:id="0"/>
            <w:r w:rsidDel="00000000" w:rsidR="00000000" w:rsidRPr="00000000">
              <w:rPr>
                <w:sz w:val="36"/>
                <w:szCs w:val="36"/>
                <w:rtl w:val="0"/>
              </w:rPr>
              <w:t xml:space="preserve">Sampsa Myllymäki</w:t>
            </w:r>
          </w:p>
          <w:p w:rsidR="00000000" w:rsidDel="00000000" w:rsidP="00000000" w:rsidRDefault="00000000" w:rsidRPr="00000000" w14:paraId="00000003">
            <w:pPr>
              <w:spacing w:line="276" w:lineRule="auto"/>
              <w:jc w:val="left"/>
              <w:rPr/>
            </w:pPr>
            <w:r w:rsidDel="00000000" w:rsidR="00000000" w:rsidRPr="00000000">
              <w:rPr>
                <w:rtl w:val="0"/>
              </w:rPr>
              <w:t xml:space="preserve">Senior Associate, Helsinki</w:t>
            </w:r>
          </w:p>
          <w:p w:rsidR="00000000" w:rsidDel="00000000" w:rsidP="00000000" w:rsidRDefault="00000000" w:rsidRPr="00000000" w14:paraId="00000004">
            <w:pPr>
              <w:spacing w:line="276" w:lineRule="auto"/>
              <w:jc w:val="left"/>
              <w:rPr/>
            </w:pPr>
            <w:r w:rsidDel="00000000" w:rsidR="00000000" w:rsidRPr="00000000">
              <w:rPr>
                <w:rtl w:val="0"/>
              </w:rPr>
              <w:t xml:space="preserve">Tax &amp; Structuring</w:t>
            </w:r>
          </w:p>
          <w:tbl>
            <w:tblPr>
              <w:tblStyle w:val="Table2"/>
              <w:tblW w:w="6100.0" w:type="dxa"/>
              <w:jc w:val="left"/>
              <w:tblInd w:w="-115.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300"/>
              <w:gridCol w:w="5800"/>
              <w:tblGridChange w:id="0">
                <w:tblGrid>
                  <w:gridCol w:w="300"/>
                  <w:gridCol w:w="5800"/>
                </w:tblGrid>
              </w:tblGridChange>
            </w:tblGrid>
            <w:tr>
              <w:trPr>
                <w:trHeight w:val="440" w:hRule="atLeast"/>
              </w:trPr>
              <w:tc>
                <w:tcPr>
                  <w:shd w:fill="auto" w:val="clear"/>
                  <w:vAlign w:val="center"/>
                </w:tcPr>
                <w:p w:rsidR="00000000" w:rsidDel="00000000" w:rsidP="00000000" w:rsidRDefault="00000000" w:rsidRPr="00000000" w14:paraId="00000005">
                  <w:pPr>
                    <w:spacing w:after="0" w:lineRule="auto"/>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-54609</wp:posOffset>
                        </wp:positionH>
                        <wp:positionV relativeFrom="paragraph">
                          <wp:posOffset>22225</wp:posOffset>
                        </wp:positionV>
                        <wp:extent cx="107950" cy="107950"/>
                        <wp:effectExtent b="0" l="0" r="0" t="0"/>
                        <wp:wrapNone/>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7950" cy="107950"/>
                                </a:xfrm>
                                <a:prstGeom prst="rect"/>
                                <a:ln/>
                              </pic:spPr>
                            </pic:pic>
                          </a:graphicData>
                        </a:graphic>
                      </wp:anchor>
                    </w:drawing>
                  </w:r>
                </w:p>
              </w:tc>
              <w:tc>
                <w:tcPr>
                  <w:shd w:fill="auto" w:val="clear"/>
                  <w:vAlign w:val="center"/>
                </w:tcPr>
                <w:p w:rsidR="00000000" w:rsidDel="00000000" w:rsidP="00000000" w:rsidRDefault="00000000" w:rsidRPr="00000000" w14:paraId="00000006">
                  <w:pPr>
                    <w:spacing w:after="0" w:lineRule="auto"/>
                    <w:jc w:val="left"/>
                    <w:rPr/>
                  </w:pPr>
                  <w:r w:rsidDel="00000000" w:rsidR="00000000" w:rsidRPr="00000000">
                    <w:rPr>
                      <w:rtl w:val="0"/>
                    </w:rPr>
                    <w:t xml:space="preserve">+358 20 506 6781</w:t>
                  </w:r>
                </w:p>
              </w:tc>
            </w:tr>
            <w:tr>
              <w:trPr>
                <w:trHeight w:val="440" w:hRule="atLeast"/>
              </w:trPr>
              <w:tc>
                <w:tcPr>
                  <w:shd w:fill="auto" w:val="clear"/>
                  <w:vAlign w:val="center"/>
                </w:tcPr>
                <w:p w:rsidR="00000000" w:rsidDel="00000000" w:rsidP="00000000" w:rsidRDefault="00000000" w:rsidRPr="00000000" w14:paraId="00000007">
                  <w:pPr>
                    <w:spacing w:after="0" w:lineRule="auto"/>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-50164</wp:posOffset>
                        </wp:positionH>
                        <wp:positionV relativeFrom="paragraph">
                          <wp:posOffset>-8889</wp:posOffset>
                        </wp:positionV>
                        <wp:extent cx="107315" cy="143510"/>
                        <wp:effectExtent b="0" l="0" r="0" t="0"/>
                        <wp:wrapNone/>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07315" cy="143510"/>
                                </a:xfrm>
                                <a:prstGeom prst="rect"/>
                                <a:ln/>
                              </pic:spPr>
                            </pic:pic>
                          </a:graphicData>
                        </a:graphic>
                      </wp:anchor>
                    </w:drawing>
                  </w:r>
                </w:p>
              </w:tc>
              <w:tc>
                <w:tcPr>
                  <w:shd w:fill="auto" w:val="clear"/>
                  <w:vAlign w:val="center"/>
                </w:tcPr>
                <w:p w:rsidR="00000000" w:rsidDel="00000000" w:rsidP="00000000" w:rsidRDefault="00000000" w:rsidRPr="00000000" w14:paraId="00000008">
                  <w:pPr>
                    <w:spacing w:after="0" w:lineRule="auto"/>
                    <w:jc w:val="left"/>
                    <w:rPr/>
                  </w:pPr>
                  <w:r w:rsidDel="00000000" w:rsidR="00000000" w:rsidRPr="00000000">
                    <w:rPr>
                      <w:rtl w:val="0"/>
                    </w:rPr>
                    <w:t xml:space="preserve">+358 50 413 2838</w:t>
                  </w:r>
                </w:p>
              </w:tc>
            </w:tr>
            <w:tr>
              <w:trPr>
                <w:trHeight w:val="440" w:hRule="atLeast"/>
              </w:trPr>
              <w:tc>
                <w:tcPr>
                  <w:shd w:fill="auto" w:val="clear"/>
                  <w:vAlign w:val="center"/>
                </w:tcPr>
                <w:p w:rsidR="00000000" w:rsidDel="00000000" w:rsidP="00000000" w:rsidRDefault="00000000" w:rsidRPr="00000000" w14:paraId="00000009">
                  <w:pPr>
                    <w:spacing w:after="0" w:lineRule="auto"/>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-48894</wp:posOffset>
                        </wp:positionH>
                        <wp:positionV relativeFrom="paragraph">
                          <wp:posOffset>47625</wp:posOffset>
                        </wp:positionV>
                        <wp:extent cx="121920" cy="90805"/>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1920" cy="90805"/>
                                </a:xfrm>
                                <a:prstGeom prst="rect"/>
                                <a:ln/>
                              </pic:spPr>
                            </pic:pic>
                          </a:graphicData>
                        </a:graphic>
                      </wp:anchor>
                    </w:drawing>
                  </w:r>
                </w:p>
              </w:tc>
              <w:tc>
                <w:tcPr>
                  <w:shd w:fill="auto" w:val="clear"/>
                  <w:vAlign w:val="center"/>
                </w:tcPr>
                <w:p w:rsidR="00000000" w:rsidDel="00000000" w:rsidP="00000000" w:rsidRDefault="00000000" w:rsidRPr="00000000" w14:paraId="0000000A">
                  <w:pPr>
                    <w:spacing w:after="0" w:lineRule="auto"/>
                    <w:jc w:val="left"/>
                    <w:rPr/>
                  </w:pPr>
                  <w:r w:rsidDel="00000000" w:rsidR="00000000" w:rsidRPr="00000000">
                    <w:rPr>
                      <w:rtl w:val="0"/>
                    </w:rPr>
                    <w:t xml:space="preserve">sampsa.myllymaki@roschier.com</w:t>
                  </w:r>
                </w:p>
              </w:tc>
            </w:tr>
          </w:tbl>
          <w:p w:rsidR="00000000" w:rsidDel="00000000" w:rsidP="00000000" w:rsidRDefault="00000000" w:rsidRPr="00000000" w14:paraId="0000000B">
            <w:pPr>
              <w:spacing w:after="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spacing w:after="0" w:lineRule="auto"/>
              <w:rPr/>
            </w:pPr>
            <w:r w:rsidDel="00000000" w:rsidR="00000000" w:rsidRPr="00000000">
              <w:rPr>
                <w:rtl w:val="0"/>
              </w:rPr>
              <w:t xml:space="preserve"/>
              <w:pict>
                <v:shape type="#_x0000_t75" style="width:280px;height:225.36585365854px" stroked="f" filled="f">
                  <v:imagedata r:id="rId12" o:title=""/>
                </v:shape>
              </w:pict>
              <w:t xml:space="preserve"/>
            </w:r>
            <w:r w:rsidDel="00000000" w:rsidR="00000000" w:rsidRPr="00000000">
              <w:rPr>
                <w:rtl w:val="0"/>
              </w:rPr>
            </w:r>
          </w:p>
        </w:tc>
      </w:tr>
    </w:tbl>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spacing w:line="276" w:lineRule="auto"/>
        <w:jc w:val="left"/>
        <w:rPr>
          <w:color w:val="2c2927"/>
        </w:rPr>
      </w:pPr>
      <w:r w:rsidDel="00000000" w:rsidR="00000000" w:rsidRPr="00000000">
        <w:rPr>
          <w:color w:val="2c2927"/>
          <w:rtl w:val="0"/>
        </w:rPr>
        <w:t xml:space="preserve">Sampsa Myllymäki is a Helsinki-based Senior Associate working with Roschier’s Tax and Structuring practice. He has experience in various domestic and international tax related matters, tax litigation processes and transfer pricing. Prior to joining Roschier in 2022, Sampsa worked for a major international accounting firm.</w:t>
      </w:r>
    </w:p>
    <w:p w:rsidR="00000000" w:rsidDel="00000000" w:rsidP="00000000" w:rsidRDefault="00000000" w:rsidRPr="00000000" w14:paraId="00000010">
      <w:pPr>
        <w:pStyle w:val="Title"/>
        <w:spacing w:after="120" w:before="360" w:line="276" w:lineRule="auto"/>
        <w:rPr/>
      </w:pPr>
      <w:r w:rsidDel="00000000" w:rsidR="00000000" w:rsidRPr="00000000">
        <w:rPr>
          <w:rtl w:val="0"/>
        </w:rPr>
        <w:t xml:space="preserve">Work highlights</w:t>
      </w:r>
    </w:p>
    <w:p w:rsidR="00000000" w:rsidDel="00000000" w:rsidP="00000000" w:rsidRDefault="00000000" w:rsidRPr="00000000" w14:paraId="00000011">
      <w:pPr>
        <w:spacing w:line="276" w:lineRule="auto"/>
        <w:jc w:val="left"/>
        <w:rPr>
          <w:color w:val="2c2927"/>
        </w:rPr>
      </w:pPr>
      <w:r w:rsidDel="00000000" w:rsidR="00000000" w:rsidRPr="00000000">
        <w:rPr>
          <w:color w:val="2c2927"/>
          <w:rtl w:val="0"/>
        </w:rPr>
        <w:t xml:space="preserve">Sampsa Myllymäki’s experience includes advising:</w:t>
      </w:r>
    </w:p>
    <w:p>
      <w:r>
        <w:t xml:space="preserve"/>
      </w:r>
    </w:p>
    <w:p>
      <w:pPr>
        <w:pStyle w:val="ListParagraph"/>
        <w:numPr>
          <w:ilvl w:val="0"/>
          <w:numId w:val="1"/>
        </w:numPr>
        <w:rPr/>
      </w:pPr>
      <w:r>
        <w:rPr/>
        <w:t xml:space="preserve">CVC-led consortium in the recommended cash tender offer for all shares in WithSecure Corporation; </w:t>
      </w:r>
    </w:p>
    <w:p>
      <w:pPr>
        <w:pStyle w:val="ListParagraph"/>
        <w:numPr>
          <w:ilvl w:val="0"/>
          <w:numId w:val="1"/>
        </w:numPr>
        <w:rPr/>
      </w:pPr>
      <w:r>
        <w:rPr/>
        <w:t xml:space="preserve">Fidelio Capital in the acquisition of CaPS; </w:t>
      </w:r>
    </w:p>
    <w:p>
      <w:pPr>
        <w:pStyle w:val="ListParagraph"/>
        <w:numPr>
          <w:ilvl w:val="0"/>
          <w:numId w:val="1"/>
        </w:numPr>
        <w:rPr/>
      </w:pPr>
      <w:r>
        <w:rPr/>
        <w:t xml:space="preserve">Apollo in the EUR 392 million takeover offer for all the shares in Purmo Group Oyj; </w:t>
      </w:r>
    </w:p>
    <w:p>
      <w:pPr>
        <w:pStyle w:val="ListParagraph"/>
        <w:numPr>
          <w:ilvl w:val="0"/>
          <w:numId w:val="1"/>
        </w:numPr>
        <w:rPr/>
      </w:pPr>
      <w:r>
        <w:rPr/>
        <w:t xml:space="preserve">ŌURA in the acquisition of Human Engineering Health Oy, a startup behind the metabolic health product Veri; </w:t>
      </w:r>
    </w:p>
    <w:p>
      <w:pPr>
        <w:pStyle w:val="ListParagraph"/>
        <w:numPr>
          <w:ilvl w:val="0"/>
          <w:numId w:val="1"/>
        </w:numPr>
        <w:rPr/>
      </w:pPr>
      <w:r>
        <w:rPr/>
        <w:t xml:space="preserve">Slättö in an investment by Ares Management; </w:t>
      </w:r>
    </w:p>
    <w:p>
      <w:pPr>
        <w:pStyle w:val="ListParagraph"/>
        <w:numPr>
          <w:ilvl w:val="0"/>
          <w:numId w:val="1"/>
        </w:numPr>
        <w:rPr/>
      </w:pPr>
      <w:r>
        <w:rPr/>
        <w:t xml:space="preserve">Brown-Forman in the sale of Brown-Forman Finland Oy, owner of the Finlandia vodka brand, to Coca-Cola HBC; and </w:t>
      </w:r>
    </w:p>
    <w:p>
      <w:pPr>
        <w:pStyle w:val="ListParagraph"/>
        <w:numPr>
          <w:ilvl w:val="0"/>
          <w:numId w:val="1"/>
        </w:numPr>
        <w:rPr/>
      </w:pPr>
      <w:r>
        <w:rPr/>
        <w:t xml:space="preserve">Warburg Pincus in the acquisition of Epassi Group. </w:t>
      </w:r>
    </w:p>
    <w:p w:rsidR="00000000" w:rsidDel="00000000" w:rsidP="00000000" w:rsidRDefault="00000000" w:rsidRPr="00000000" w14:paraId="00000010">
      <w:pPr>
        <w:pStyle w:val="Title"/>
        <w:spacing w:after="120" w:before="360" w:line="276" w:lineRule="auto"/>
        <w:rPr/>
      </w:pPr>
      <w:r w:rsidDel="00000000" w:rsidR="00000000" w:rsidRPr="00000000">
        <w:rPr>
          <w:rtl w:val="0"/>
        </w:rPr>
        <w:t xml:space="preserve">Career</w:t>
      </w:r>
    </w:p>
    <w:p w:rsidR="00000000" w:rsidDel="00000000" w:rsidP="00000000" w:rsidRDefault="00000000" w:rsidRPr="00000000" w14:paraId="00000011">
      <w:pPr>
        <w:spacing w:line="276" w:lineRule="auto"/>
        <w:jc w:val="left"/>
        <w:rPr>
          <w:color w:val="2c2927"/>
        </w:rPr>
      </w:pPr>
      <w:r w:rsidDel="00000000" w:rsidR="00000000" w:rsidRPr="00000000">
        <w:rPr>
          <w:color w:val="2c2927"/>
          <w:rtl w:val="0"/>
        </w:rPr>
        <w:t xml:space="preserve">Roschier- (2022)</w:t>
      </w:r>
    </w:p>
    <w:p>
      <w:r>
        <w:t xml:space="preserve">Deloitte, Consultant (2018-2020), Senior Consultant (2020-2022)</w:t>
      </w:r>
    </w:p>
    <w:p w:rsidR="00000000" w:rsidDel="00000000" w:rsidP="00000000" w:rsidRDefault="00000000" w:rsidRPr="00000000" w14:paraId="00000010">
      <w:pPr>
        <w:pStyle w:val="Title"/>
        <w:spacing w:after="120" w:before="360" w:line="276" w:lineRule="auto"/>
        <w:rPr/>
      </w:pPr>
      <w:r w:rsidDel="00000000" w:rsidR="00000000" w:rsidRPr="00000000">
        <w:rPr>
          <w:rtl w:val="0"/>
        </w:rPr>
        <w:t xml:space="preserve">Memberships</w:t>
      </w:r>
    </w:p>
    <w:p w:rsidR="00000000" w:rsidDel="00000000" w:rsidP="00000000" w:rsidRDefault="00000000" w:rsidRPr="00000000" w14:paraId="00000011">
      <w:pPr>
        <w:spacing w:line="276" w:lineRule="auto"/>
        <w:jc w:val="left"/>
        <w:rPr>
          <w:color w:val="2c2927"/>
        </w:rPr>
      </w:pPr>
      <w:r w:rsidDel="00000000" w:rsidR="00000000" w:rsidRPr="00000000">
        <w:rPr>
          <w:color w:val="2c2927"/>
          <w:rtl w:val="0"/>
        </w:rPr>
        <w:t xml:space="preserve">Member of the Finnish Bar Association</w:t>
      </w:r>
    </w:p>
    <w:p>
      <w:r>
        <w:t xml:space="preserve">Member of the International Fiscal Association (IFA)</w:t>
      </w:r>
    </w:p>
    <w:p>
      <w:r>
        <w:t xml:space="preserve">Member of the Finnish Tax Experts’ Association (SVA)</w:t>
      </w:r>
    </w:p>
    <w:p w:rsidR="00000000" w:rsidDel="00000000" w:rsidP="00000000" w:rsidRDefault="00000000" w:rsidRPr="00000000" w14:paraId="00000010">
      <w:pPr>
        <w:pStyle w:val="Title"/>
        <w:spacing w:after="120" w:before="360" w:line="276" w:lineRule="auto"/>
        <w:rPr/>
      </w:pPr>
      <w:r w:rsidDel="00000000" w:rsidR="00000000" w:rsidRPr="00000000">
        <w:rPr>
          <w:rtl w:val="0"/>
        </w:rPr>
        <w:t xml:space="preserve">Education</w:t>
      </w:r>
    </w:p>
    <w:p w:rsidR="00000000" w:rsidDel="00000000" w:rsidP="00000000" w:rsidRDefault="00000000" w:rsidRPr="00000000" w14:paraId="00000011">
      <w:pPr>
        <w:spacing w:line="276" w:lineRule="auto"/>
        <w:jc w:val="left"/>
        <w:rPr>
          <w:color w:val="2c2927"/>
        </w:rPr>
      </w:pPr>
      <w:r w:rsidDel="00000000" w:rsidR="00000000" w:rsidRPr="00000000">
        <w:rPr>
          <w:color w:val="2c2927"/>
          <w:rtl w:val="0"/>
        </w:rPr>
        <w:t xml:space="preserve">University of Turku, LL.M. (2020)</w:t>
      </w:r>
    </w:p>
    <w:p w:rsidR="00000000" w:rsidDel="00000000" w:rsidP="00000000" w:rsidRDefault="00000000" w:rsidRPr="00000000" w14:paraId="00000010">
      <w:pPr>
        <w:pStyle w:val="Title"/>
        <w:spacing w:after="120" w:before="360" w:line="276" w:lineRule="auto"/>
        <w:rPr/>
      </w:pPr>
      <w:r w:rsidDel="00000000" w:rsidR="00000000" w:rsidRPr="00000000">
        <w:rPr>
          <w:rtl w:val="0"/>
        </w:rPr>
        <w:t xml:space="preserve">Languages</w:t>
      </w:r>
    </w:p>
    <w:p w:rsidR="00000000" w:rsidDel="00000000" w:rsidP="00000000" w:rsidRDefault="00000000" w:rsidRPr="00000000" w14:paraId="00000011">
      <w:pPr>
        <w:spacing w:line="276" w:lineRule="auto"/>
        <w:jc w:val="left"/>
        <w:rPr>
          <w:color w:val="2c2927"/>
        </w:rPr>
      </w:pPr>
      <w:r w:rsidDel="00000000" w:rsidR="00000000" w:rsidRPr="00000000">
        <w:rPr>
          <w:color w:val="2c2927"/>
          <w:rtl w:val="0"/>
        </w:rPr>
        <w:t xml:space="preserve">English, Finnish</w:t>
      </w:r>
    </w:p>
    <w:sectPr>
      <w:headerReference r:id="rId9" w:type="default"/>
      <w:footerReference r:id="rId10" w:type="default"/>
      <w:footerReference r:id="rId11" w:type="first"/>
      <w:pgSz w:h="16839" w:w="11907"/>
      <w:pgMar w:bottom="1701" w:top="1701" w:left="1418" w:right="1701" w:header="482"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4">
    <w:pPr>
      <w:spacing w:after="0" w:line="480" w:lineRule="auto"/>
      <w:jc w:val="right"/>
      <w:rPr>
        <w:vertAlign w:val="baseline"/>
      </w:rPr>
    </w:pPr>
    <w:r w:rsidDel="00000000" w:rsidR="00000000" w:rsidRPr="00000000">
      <w:rPr>
        <w:b w:val="1"/>
        <w:sz w:val="16"/>
        <w:szCs w:val="16"/>
      </w:rPr>
      <w:drawing>
        <wp:inline distB="0" distT="0" distL="0" distR="0">
          <wp:extent cx="1420371" cy="273149"/>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420371" cy="273149"/>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
      <w:tblW w:w="8789.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53"/>
      <w:gridCol w:w="4536"/>
      <w:tblGridChange w:id="0">
        <w:tblGrid>
          <w:gridCol w:w="4253"/>
          <w:gridCol w:w="4536"/>
        </w:tblGrid>
      </w:tblGridChange>
    </w:tblGrid>
    <w:tr>
      <w:tc>
        <w:tcPr>
          <w:vAlign w:val="bottom"/>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tc>
      <w:tc>
        <w:tcPr>
          <w:vAlign w:val="bottom"/>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righ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i w:val="0"/>
              <w:smallCaps w:val="0"/>
              <w:strike w:val="0"/>
              <w:color w:val="000000"/>
              <w:sz w:val="16"/>
              <w:szCs w:val="16"/>
              <w:u w:val="none"/>
              <w:shd w:fill="auto" w:val="clear"/>
              <w:vertAlign w:val="baseline"/>
            </w:rPr>
            <w:drawing>
              <wp:inline distB="0" distT="0" distL="0" distR="0">
                <wp:extent cx="1420371" cy="273149"/>
                <wp:effectExtent b="0" l="0" r="0" t="0"/>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420371" cy="27314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4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ind w:left="992" w:hanging="992"/>
    </w:pPr>
    <w:rPr>
      <w:rFonts w:ascii="Calibri" w:cs="Calibri" w:eastAsia="Calibri" w:hAnsi="Calibri"/>
      <w:b w:val="1"/>
      <w:sz w:val="28"/>
      <w:szCs w:val="28"/>
    </w:rPr>
  </w:style>
  <w:style w:type="paragraph" w:styleId="Heading2">
    <w:name w:val="heading 2"/>
    <w:basedOn w:val="Normal"/>
    <w:next w:val="Normal"/>
    <w:pPr>
      <w:keepNext w:val="1"/>
      <w:ind w:left="992" w:hanging="992"/>
    </w:pPr>
    <w:rPr>
      <w:rFonts w:ascii="Calibri" w:cs="Calibri" w:eastAsia="Calibri" w:hAnsi="Calibri"/>
      <w:b w:val="1"/>
      <w:sz w:val="24"/>
      <w:szCs w:val="24"/>
    </w:rPr>
  </w:style>
  <w:style w:type="paragraph" w:styleId="Heading3">
    <w:name w:val="heading 3"/>
    <w:basedOn w:val="Normal"/>
    <w:next w:val="Normal"/>
    <w:pPr>
      <w:keepNext w:val="1"/>
      <w:ind w:left="992" w:hanging="992"/>
    </w:pPr>
    <w:rPr>
      <w:rFonts w:ascii="Calibri" w:cs="Calibri" w:eastAsia="Calibri" w:hAnsi="Calibri"/>
      <w:b w:val="1"/>
    </w:rPr>
  </w:style>
  <w:style w:type="paragraph" w:styleId="Heading4">
    <w:name w:val="heading 4"/>
    <w:basedOn w:val="Normal"/>
    <w:next w:val="Normal"/>
    <w:pPr>
      <w:keepNext w:val="1"/>
      <w:ind w:left="992" w:hanging="992"/>
    </w:pPr>
    <w:rPr>
      <w:rFonts w:ascii="Calibri" w:cs="Calibri" w:eastAsia="Calibri" w:hAnsi="Calibri"/>
    </w:rPr>
  </w:style>
  <w:style w:type="paragraph" w:styleId="Heading5">
    <w:name w:val="heading 5"/>
    <w:basedOn w:val="Normal"/>
    <w:next w:val="Normal"/>
    <w:pPr>
      <w:ind w:left="1134"/>
    </w:pPr>
    <w:rPr>
      <w:rFonts w:ascii="Calibri" w:cs="Calibri" w:eastAsia="Calibri" w:hAnsi="Calibri"/>
    </w:rPr>
  </w:style>
  <w:style w:type="paragraph" w:styleId="Heading6">
    <w:name w:val="heading 6"/>
    <w:basedOn w:val="Normal"/>
    <w:next w:val="Normal"/>
    <w:pPr>
      <w:ind w:left="1134"/>
    </w:pPr>
    <w:rPr>
      <w:rFonts w:ascii="Calibri" w:cs="Calibri" w:eastAsia="Calibri" w:hAnsi="Calibri"/>
    </w:rPr>
  </w:style>
  <w:style w:type="paragraph" w:styleId="Title">
    <w:name w:val="Title"/>
    <w:basedOn w:val="Normal"/>
    <w:next w:val="Normal"/>
    <w:pPr>
      <w:keepNext w:val="1"/>
      <w:spacing w:before="100" w:lineRule="auto"/>
    </w:pPr>
    <w:rPr>
      <w:rFonts w:ascii="Calibri" w:cs="Calibri" w:eastAsia="Calibri" w:hAnsi="Calibri"/>
      <w:b w:val="1"/>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tcPr>
      <w:shd w:fill="f4e8e7" w:val="clear"/>
    </w:tcPr>
    <w:tblStylePr w:type="band1Horz">
      <w:tcPr>
        <w:shd w:fill="e9d1cf" w:val="clear"/>
      </w:tcPr>
    </w:tblStylePr>
    <w:tblStylePr w:type="band1Vert">
      <w:tcPr>
        <w:shd w:fill="e9d1cf"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c88c87"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c88c87"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c88c87"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c88c87" w:val="clear"/>
      </w:tcPr>
    </w:tblStylePr>
  </w:style>
  <w:style w:type="table" w:styleId="Table3">
    <w:basedOn w:val="TableNormal"/>
    <w:tblPr>
      <w:tblStyleRowBandSize w:val="1"/>
      <w:tblStyleColBandSize w:val="1"/>
      <w:tblCellMar>
        <w:top w:w="0.0" w:type="dxa"/>
        <w:left w:w="0.0" w:type="dxa"/>
        <w:bottom w:w="113.0" w:type="dxa"/>
        <w:right w:w="0.0" w:type="dxa"/>
      </w:tblCellMar>
    </w:tblPr>
    <w:tcPr>
      <w:shd w:fill="f4e8e7"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 Id="rId12" Type="http://schemas.openxmlformats.org/officeDocument/2006/relationships/image" Target="media/image_rId12_document.jpe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