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41F84" w14:textId="77777777" w:rsidR="008D19B2" w:rsidRPr="00C139F7" w:rsidRDefault="008D19B2" w:rsidP="008D19B2">
      <w:pPr>
        <w:pStyle w:val="ListParagraph"/>
        <w:ind w:left="360"/>
        <w:rPr>
          <w:rFonts w:ascii="Arial" w:hAnsi="Arial" w:cs="Arial"/>
        </w:rPr>
      </w:pPr>
      <w:r w:rsidRPr="00C139F7">
        <w:rPr>
          <w:rFonts w:ascii="Arial" w:hAnsi="Arial" w:cs="Arial"/>
          <w:b/>
          <w:lang w:val="it-IT"/>
        </w:rPr>
        <w:t>Tabla 1</w:t>
      </w:r>
      <w:r w:rsidRPr="00C139F7">
        <w:rPr>
          <w:rFonts w:ascii="Arial" w:hAnsi="Arial" w:cs="Arial"/>
          <w:lang w:val="it-IT"/>
        </w:rPr>
        <w:t xml:space="preserve">. </w:t>
      </w:r>
      <w:r w:rsidRPr="00C139F7">
        <w:rPr>
          <w:rFonts w:ascii="Arial" w:hAnsi="Arial" w:cs="Arial"/>
        </w:rPr>
        <w:t>Características de los pacient</w:t>
      </w:r>
      <w:r>
        <w:rPr>
          <w:rFonts w:ascii="Arial" w:hAnsi="Arial" w:cs="Arial"/>
        </w:rPr>
        <w:t>es sobrevivientes  y fallecidos</w:t>
      </w:r>
    </w:p>
    <w:p w14:paraId="3D79E923" w14:textId="77777777" w:rsidR="00573B2D" w:rsidRDefault="00573B2D"/>
    <w:p w14:paraId="08F1C9EC" w14:textId="77777777" w:rsidR="008D19B2" w:rsidRDefault="008D19B2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699"/>
        <w:gridCol w:w="2072"/>
        <w:gridCol w:w="2064"/>
        <w:gridCol w:w="1219"/>
      </w:tblGrid>
      <w:tr w:rsidR="008D19B2" w:rsidRPr="00EF52F6" w14:paraId="155E005F" w14:textId="77777777" w:rsidTr="00D271FE">
        <w:tc>
          <w:tcPr>
            <w:tcW w:w="2043" w:type="pct"/>
            <w:shd w:val="clear" w:color="auto" w:fill="BFBFBF" w:themeFill="background1" w:themeFillShade="BF"/>
            <w:vAlign w:val="center"/>
          </w:tcPr>
          <w:p w14:paraId="3EDC0CEB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r>
              <w:rPr>
                <w:rFonts w:ascii="Arial" w:hAnsi="Arial" w:cs="Arial"/>
                <w:b/>
                <w:lang w:val="it-IT"/>
              </w:rPr>
              <w:t>Características</w:t>
            </w:r>
          </w:p>
        </w:tc>
        <w:tc>
          <w:tcPr>
            <w:tcW w:w="1144" w:type="pct"/>
            <w:shd w:val="clear" w:color="auto" w:fill="BFBFBF" w:themeFill="background1" w:themeFillShade="BF"/>
            <w:vAlign w:val="center"/>
          </w:tcPr>
          <w:p w14:paraId="1AE8775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r w:rsidRPr="00EF52F6">
              <w:rPr>
                <w:rFonts w:ascii="Arial" w:hAnsi="Arial" w:cs="Arial"/>
                <w:b/>
                <w:lang w:val="it-IT"/>
              </w:rPr>
              <w:t>Sobrevivientes</w:t>
            </w:r>
          </w:p>
          <w:p w14:paraId="633690D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r>
              <w:rPr>
                <w:rFonts w:ascii="Arial" w:hAnsi="Arial" w:cs="Arial"/>
                <w:b/>
                <w:lang w:val="it-IT"/>
              </w:rPr>
              <w:t xml:space="preserve">(n </w:t>
            </w:r>
            <w:r w:rsidRPr="00EF52F6">
              <w:rPr>
                <w:rFonts w:ascii="Arial" w:hAnsi="Arial" w:cs="Arial"/>
                <w:b/>
                <w:lang w:val="it-IT"/>
              </w:rPr>
              <w:t>=</w:t>
            </w:r>
            <w:r>
              <w:rPr>
                <w:rFonts w:ascii="Arial" w:hAnsi="Arial" w:cs="Arial"/>
                <w:b/>
                <w:lang w:val="it-IT"/>
              </w:rPr>
              <w:t xml:space="preserve"> </w:t>
            </w:r>
            <w:r w:rsidRPr="00EF52F6">
              <w:rPr>
                <w:rFonts w:ascii="Arial" w:hAnsi="Arial" w:cs="Arial"/>
                <w:b/>
                <w:lang w:val="it-IT"/>
              </w:rPr>
              <w:t>2012</w:t>
            </w:r>
            <w:r>
              <w:rPr>
                <w:rFonts w:ascii="Arial" w:hAnsi="Arial" w:cs="Arial"/>
                <w:b/>
                <w:lang w:val="it-IT"/>
              </w:rPr>
              <w:t>)</w:t>
            </w:r>
          </w:p>
        </w:tc>
        <w:tc>
          <w:tcPr>
            <w:tcW w:w="1140" w:type="pct"/>
            <w:shd w:val="clear" w:color="auto" w:fill="BFBFBF" w:themeFill="background1" w:themeFillShade="BF"/>
            <w:vAlign w:val="center"/>
          </w:tcPr>
          <w:p w14:paraId="3F5F0183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r w:rsidRPr="00EF52F6">
              <w:rPr>
                <w:rFonts w:ascii="Arial" w:hAnsi="Arial" w:cs="Arial"/>
                <w:b/>
                <w:lang w:val="it-IT"/>
              </w:rPr>
              <w:t>Fallecidos</w:t>
            </w:r>
          </w:p>
          <w:p w14:paraId="3AC9D907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r>
              <w:rPr>
                <w:rFonts w:ascii="Arial" w:hAnsi="Arial" w:cs="Arial"/>
                <w:b/>
                <w:lang w:val="it-IT"/>
              </w:rPr>
              <w:t xml:space="preserve">(n </w:t>
            </w:r>
            <w:r w:rsidRPr="00EF52F6">
              <w:rPr>
                <w:rFonts w:ascii="Arial" w:hAnsi="Arial" w:cs="Arial"/>
                <w:b/>
                <w:lang w:val="it-IT"/>
              </w:rPr>
              <w:t>=</w:t>
            </w:r>
            <w:r>
              <w:rPr>
                <w:rFonts w:ascii="Arial" w:hAnsi="Arial" w:cs="Arial"/>
                <w:b/>
                <w:lang w:val="it-IT"/>
              </w:rPr>
              <w:t xml:space="preserve"> </w:t>
            </w:r>
            <w:r w:rsidRPr="00EF52F6">
              <w:rPr>
                <w:rFonts w:ascii="Arial" w:hAnsi="Arial" w:cs="Arial"/>
                <w:b/>
                <w:lang w:val="it-IT"/>
              </w:rPr>
              <w:t>629</w:t>
            </w:r>
            <w:r>
              <w:rPr>
                <w:rFonts w:ascii="Arial" w:hAnsi="Arial" w:cs="Arial"/>
                <w:b/>
                <w:lang w:val="it-IT"/>
              </w:rPr>
              <w:t>)</w:t>
            </w:r>
          </w:p>
        </w:tc>
        <w:tc>
          <w:tcPr>
            <w:tcW w:w="744" w:type="pct"/>
            <w:shd w:val="clear" w:color="auto" w:fill="BFBFBF" w:themeFill="background1" w:themeFillShade="BF"/>
            <w:vAlign w:val="center"/>
          </w:tcPr>
          <w:p w14:paraId="6C97C499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r>
              <w:rPr>
                <w:rFonts w:ascii="Arial" w:hAnsi="Arial" w:cs="Arial"/>
                <w:b/>
                <w:lang w:val="it-IT"/>
              </w:rPr>
              <w:t>Valor de p</w:t>
            </w:r>
          </w:p>
        </w:tc>
      </w:tr>
      <w:tr w:rsidR="008D19B2" w:rsidRPr="00EF52F6" w14:paraId="2A671F2F" w14:textId="77777777" w:rsidTr="00D271FE">
        <w:tc>
          <w:tcPr>
            <w:tcW w:w="2043" w:type="pct"/>
          </w:tcPr>
          <w:p w14:paraId="5240E772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Edad, años (</w:t>
            </w:r>
            <w:r w:rsidRPr="00EF52F6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 xml:space="preserve"> DE)</w:t>
            </w:r>
          </w:p>
        </w:tc>
        <w:tc>
          <w:tcPr>
            <w:tcW w:w="1144" w:type="pct"/>
          </w:tcPr>
          <w:p w14:paraId="1EFBDD5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 w:rsidRPr="00EF52F6">
              <w:rPr>
                <w:rFonts w:ascii="Arial" w:hAnsi="Arial" w:cs="Arial"/>
              </w:rPr>
              <w:t>48</w:t>
            </w:r>
            <w:r>
              <w:rPr>
                <w:rFonts w:ascii="Arial" w:hAnsi="Arial" w:cs="Arial"/>
              </w:rPr>
              <w:t>.</w:t>
            </w:r>
            <w:r w:rsidRPr="00EF52F6">
              <w:rPr>
                <w:rFonts w:ascii="Arial" w:hAnsi="Arial" w:cs="Arial"/>
              </w:rPr>
              <w:t>45</w:t>
            </w:r>
            <w:r>
              <w:rPr>
                <w:rFonts w:ascii="Arial" w:hAnsi="Arial" w:cs="Arial"/>
              </w:rPr>
              <w:t xml:space="preserve"> </w:t>
            </w:r>
            <w:r w:rsidRPr="00EF52F6">
              <w:rPr>
                <w:rFonts w:ascii="Arial" w:hAnsi="Arial" w:cs="Arial"/>
              </w:rPr>
              <w:t>(±18)</w:t>
            </w:r>
          </w:p>
        </w:tc>
        <w:tc>
          <w:tcPr>
            <w:tcW w:w="1140" w:type="pct"/>
          </w:tcPr>
          <w:p w14:paraId="3F669BFC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55.54 (</w:t>
            </w:r>
            <w:r w:rsidRPr="00EF52F6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>16,3)</w:t>
            </w:r>
          </w:p>
        </w:tc>
        <w:tc>
          <w:tcPr>
            <w:tcW w:w="744" w:type="pct"/>
          </w:tcPr>
          <w:p w14:paraId="5E7ADC6D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0,003</w:t>
            </w:r>
          </w:p>
        </w:tc>
      </w:tr>
      <w:tr w:rsidR="008D19B2" w:rsidRPr="00EF52F6" w14:paraId="110FAD04" w14:textId="77777777" w:rsidTr="00D271FE">
        <w:tc>
          <w:tcPr>
            <w:tcW w:w="2043" w:type="pct"/>
          </w:tcPr>
          <w:p w14:paraId="512422E4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Sexo masculino – n (%)</w:t>
            </w:r>
          </w:p>
        </w:tc>
        <w:tc>
          <w:tcPr>
            <w:tcW w:w="1144" w:type="pct"/>
          </w:tcPr>
          <w:p w14:paraId="725B7657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1343 (66,7)</w:t>
            </w:r>
          </w:p>
        </w:tc>
        <w:tc>
          <w:tcPr>
            <w:tcW w:w="1140" w:type="pct"/>
          </w:tcPr>
          <w:p w14:paraId="39D7EEED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410 (65,2)</w:t>
            </w:r>
          </w:p>
        </w:tc>
        <w:tc>
          <w:tcPr>
            <w:tcW w:w="744" w:type="pct"/>
          </w:tcPr>
          <w:p w14:paraId="2BF5D596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0,483</w:t>
            </w:r>
          </w:p>
        </w:tc>
      </w:tr>
      <w:tr w:rsidR="008D19B2" w:rsidRPr="00EF52F6" w14:paraId="5B6E0571" w14:textId="77777777" w:rsidTr="00D271FE">
        <w:tc>
          <w:tcPr>
            <w:tcW w:w="2043" w:type="pct"/>
          </w:tcPr>
          <w:p w14:paraId="216D3DE8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Motivos de ingreso – n (%)</w:t>
            </w:r>
          </w:p>
          <w:p w14:paraId="76ECC3BF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Patología médica</w:t>
            </w:r>
          </w:p>
          <w:p w14:paraId="741E67C0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Politraumatismos</w:t>
            </w:r>
          </w:p>
          <w:p w14:paraId="4D7F2A35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Cirugía programada</w:t>
            </w:r>
          </w:p>
          <w:p w14:paraId="22831E07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Cirugía de urgencia</w:t>
            </w:r>
          </w:p>
        </w:tc>
        <w:tc>
          <w:tcPr>
            <w:tcW w:w="1144" w:type="pct"/>
          </w:tcPr>
          <w:p w14:paraId="1B23C62A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</w:p>
          <w:p w14:paraId="46760802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1379 (68,5)</w:t>
            </w:r>
          </w:p>
          <w:p w14:paraId="391E0AE5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166 (8,3)</w:t>
            </w:r>
          </w:p>
          <w:p w14:paraId="5094C8AF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206 (10,2)</w:t>
            </w:r>
          </w:p>
          <w:p w14:paraId="76E3C513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261 (13)</w:t>
            </w:r>
          </w:p>
        </w:tc>
        <w:tc>
          <w:tcPr>
            <w:tcW w:w="1140" w:type="pct"/>
          </w:tcPr>
          <w:p w14:paraId="1B0C7280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</w:p>
          <w:p w14:paraId="47915112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519 (82,5)</w:t>
            </w:r>
          </w:p>
          <w:p w14:paraId="2CDFFEB3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33 (5,3)</w:t>
            </w:r>
          </w:p>
          <w:p w14:paraId="283AE6BB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22 (3,5)</w:t>
            </w:r>
          </w:p>
          <w:p w14:paraId="76B25545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55 (8,7)</w:t>
            </w:r>
          </w:p>
        </w:tc>
        <w:tc>
          <w:tcPr>
            <w:tcW w:w="744" w:type="pct"/>
          </w:tcPr>
          <w:p w14:paraId="327E20E4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</w:p>
          <w:p w14:paraId="2BC0A92A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&lt;0,001</w:t>
            </w:r>
          </w:p>
          <w:p w14:paraId="19267E09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0,011</w:t>
            </w:r>
          </w:p>
          <w:p w14:paraId="74BDE793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&lt;0,001</w:t>
            </w:r>
          </w:p>
          <w:p w14:paraId="3469D71B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0,004</w:t>
            </w:r>
          </w:p>
        </w:tc>
      </w:tr>
      <w:tr w:rsidR="008D19B2" w:rsidRPr="00EF52F6" w14:paraId="20BCBC4D" w14:textId="77777777" w:rsidTr="00D271FE">
        <w:tc>
          <w:tcPr>
            <w:tcW w:w="2043" w:type="pct"/>
          </w:tcPr>
          <w:p w14:paraId="26D3A9B4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Comorbilidades graves – n (%)</w:t>
            </w:r>
          </w:p>
          <w:p w14:paraId="21221637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 Hepática</w:t>
            </w:r>
          </w:p>
          <w:p w14:paraId="33BAFBD2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 Renal</w:t>
            </w:r>
          </w:p>
          <w:p w14:paraId="275B77D7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 Respiratoria</w:t>
            </w:r>
          </w:p>
          <w:p w14:paraId="7B1130B1" w14:textId="77777777" w:rsidR="008D19B2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 Cardiovascular</w:t>
            </w:r>
          </w:p>
          <w:p w14:paraId="5D860257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                  Inmunodeficiencia</w:t>
            </w:r>
          </w:p>
        </w:tc>
        <w:tc>
          <w:tcPr>
            <w:tcW w:w="1144" w:type="pct"/>
          </w:tcPr>
          <w:p w14:paraId="7914B02C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</w:p>
          <w:p w14:paraId="29B78FC2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54 (2,7)</w:t>
            </w:r>
          </w:p>
          <w:p w14:paraId="0212BE0D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12 (0,6)</w:t>
            </w:r>
          </w:p>
          <w:p w14:paraId="2411B185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51 (2,5)</w:t>
            </w:r>
          </w:p>
          <w:p w14:paraId="55D40905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45 (2,2)</w:t>
            </w:r>
          </w:p>
          <w:p w14:paraId="426ADD28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27 (1,3)</w:t>
            </w:r>
          </w:p>
        </w:tc>
        <w:tc>
          <w:tcPr>
            <w:tcW w:w="1140" w:type="pct"/>
          </w:tcPr>
          <w:p w14:paraId="18B3274B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</w:p>
          <w:p w14:paraId="2BF720F8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32 (5,1)</w:t>
            </w:r>
          </w:p>
          <w:p w14:paraId="42B890D4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15 (2,4)</w:t>
            </w:r>
          </w:p>
          <w:p w14:paraId="3D98DA7A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29 (4,6)</w:t>
            </w:r>
          </w:p>
          <w:p w14:paraId="2C023C69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23 (3,7)</w:t>
            </w:r>
          </w:p>
          <w:p w14:paraId="6CD4438F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30 (4,8)</w:t>
            </w:r>
          </w:p>
        </w:tc>
        <w:tc>
          <w:tcPr>
            <w:tcW w:w="744" w:type="pct"/>
          </w:tcPr>
          <w:p w14:paraId="2630C6BA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</w:p>
          <w:p w14:paraId="38449820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0,003</w:t>
            </w:r>
          </w:p>
          <w:p w14:paraId="3A8CD333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&lt;0,001</w:t>
            </w:r>
          </w:p>
          <w:p w14:paraId="478F219F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0,006</w:t>
            </w:r>
          </w:p>
          <w:p w14:paraId="59099F49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0,040</w:t>
            </w:r>
          </w:p>
          <w:p w14:paraId="61309B25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&lt;0,001</w:t>
            </w:r>
          </w:p>
        </w:tc>
      </w:tr>
      <w:tr w:rsidR="008D19B2" w:rsidRPr="00EF52F6" w14:paraId="5421B2A6" w14:textId="77777777" w:rsidTr="00D271FE">
        <w:tc>
          <w:tcPr>
            <w:tcW w:w="2043" w:type="pct"/>
          </w:tcPr>
          <w:p w14:paraId="039091FF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Ventilación mecánica – n (%)</w:t>
            </w:r>
          </w:p>
        </w:tc>
        <w:tc>
          <w:tcPr>
            <w:tcW w:w="1144" w:type="pct"/>
          </w:tcPr>
          <w:p w14:paraId="5C3D83B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735 (36,5)</w:t>
            </w:r>
          </w:p>
        </w:tc>
        <w:tc>
          <w:tcPr>
            <w:tcW w:w="1140" w:type="pct"/>
          </w:tcPr>
          <w:p w14:paraId="3EF286B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459 (72,9)</w:t>
            </w:r>
          </w:p>
        </w:tc>
        <w:tc>
          <w:tcPr>
            <w:tcW w:w="744" w:type="pct"/>
          </w:tcPr>
          <w:p w14:paraId="792679F5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&lt;0,001</w:t>
            </w:r>
          </w:p>
        </w:tc>
      </w:tr>
      <w:tr w:rsidR="008D19B2" w:rsidRPr="00EF52F6" w14:paraId="55009F65" w14:textId="77777777" w:rsidTr="00D271FE">
        <w:tc>
          <w:tcPr>
            <w:tcW w:w="2043" w:type="pct"/>
          </w:tcPr>
          <w:p w14:paraId="2BCF73E1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Días de internación, días (</w:t>
            </w:r>
            <w:r w:rsidRPr="00EF52F6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 xml:space="preserve"> DE)</w:t>
            </w:r>
          </w:p>
        </w:tc>
        <w:tc>
          <w:tcPr>
            <w:tcW w:w="1144" w:type="pct"/>
          </w:tcPr>
          <w:p w14:paraId="509D55F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</w:rPr>
              <w:t>6.45 (± 8,9</w:t>
            </w:r>
            <w:r w:rsidRPr="00EF52F6">
              <w:rPr>
                <w:rFonts w:ascii="Arial" w:hAnsi="Arial" w:cs="Arial"/>
              </w:rPr>
              <w:t>)</w:t>
            </w:r>
          </w:p>
        </w:tc>
        <w:tc>
          <w:tcPr>
            <w:tcW w:w="1140" w:type="pct"/>
          </w:tcPr>
          <w:p w14:paraId="3EF75BF7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</w:rPr>
              <w:t>7.9 (± 9,1</w:t>
            </w:r>
            <w:r w:rsidRPr="00EF52F6">
              <w:rPr>
                <w:rFonts w:ascii="Arial" w:hAnsi="Arial" w:cs="Arial"/>
              </w:rPr>
              <w:t>)</w:t>
            </w:r>
          </w:p>
        </w:tc>
        <w:tc>
          <w:tcPr>
            <w:tcW w:w="744" w:type="pct"/>
          </w:tcPr>
          <w:p w14:paraId="328FE2E8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0,485</w:t>
            </w:r>
          </w:p>
        </w:tc>
      </w:tr>
      <w:tr w:rsidR="008D19B2" w:rsidRPr="00EF52F6" w14:paraId="467CEE94" w14:textId="77777777" w:rsidTr="00D271FE">
        <w:tc>
          <w:tcPr>
            <w:tcW w:w="2043" w:type="pct"/>
          </w:tcPr>
          <w:p w14:paraId="13EFB99D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APACHE II, puntaje (</w:t>
            </w:r>
            <w:r w:rsidRPr="00EF52F6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 xml:space="preserve"> DE)</w:t>
            </w:r>
          </w:p>
        </w:tc>
        <w:tc>
          <w:tcPr>
            <w:tcW w:w="1144" w:type="pct"/>
          </w:tcPr>
          <w:p w14:paraId="6EB0804B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</w:rPr>
              <w:t>11,74 (± 6,7</w:t>
            </w:r>
            <w:r w:rsidRPr="00EF52F6">
              <w:rPr>
                <w:rFonts w:ascii="Arial" w:hAnsi="Arial" w:cs="Arial"/>
              </w:rPr>
              <w:t>)</w:t>
            </w:r>
          </w:p>
        </w:tc>
        <w:tc>
          <w:tcPr>
            <w:tcW w:w="1140" w:type="pct"/>
          </w:tcPr>
          <w:p w14:paraId="0436A94C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</w:rPr>
              <w:t>22,03 (± 8,1</w:t>
            </w:r>
            <w:r w:rsidRPr="00EF52F6">
              <w:rPr>
                <w:rFonts w:ascii="Arial" w:hAnsi="Arial" w:cs="Arial"/>
              </w:rPr>
              <w:t>)</w:t>
            </w:r>
          </w:p>
        </w:tc>
        <w:tc>
          <w:tcPr>
            <w:tcW w:w="744" w:type="pct"/>
          </w:tcPr>
          <w:p w14:paraId="4009793D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&lt;0,001</w:t>
            </w:r>
          </w:p>
        </w:tc>
      </w:tr>
      <w:tr w:rsidR="008D19B2" w:rsidRPr="00EF52F6" w14:paraId="5BEB8086" w14:textId="77777777" w:rsidTr="00D271FE">
        <w:tc>
          <w:tcPr>
            <w:tcW w:w="2043" w:type="pct"/>
          </w:tcPr>
          <w:p w14:paraId="41D9804D" w14:textId="77777777" w:rsidR="008D19B2" w:rsidRPr="00EF52F6" w:rsidRDefault="008D19B2" w:rsidP="00D271FE">
            <w:pPr>
              <w:spacing w:line="360" w:lineRule="auto"/>
              <w:jc w:val="both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SAPS II, puntaje (</w:t>
            </w:r>
            <w:r w:rsidRPr="00EF52F6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 xml:space="preserve"> DE)</w:t>
            </w:r>
          </w:p>
        </w:tc>
        <w:tc>
          <w:tcPr>
            <w:tcW w:w="1144" w:type="pct"/>
          </w:tcPr>
          <w:p w14:paraId="501BF053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</w:rPr>
              <w:t>31,20 (± 15,6</w:t>
            </w:r>
            <w:r w:rsidRPr="00EF52F6">
              <w:rPr>
                <w:rFonts w:ascii="Arial" w:hAnsi="Arial" w:cs="Arial"/>
              </w:rPr>
              <w:t>)</w:t>
            </w:r>
          </w:p>
        </w:tc>
        <w:tc>
          <w:tcPr>
            <w:tcW w:w="1140" w:type="pct"/>
          </w:tcPr>
          <w:p w14:paraId="5ADF7EA3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r w:rsidRPr="00EF52F6">
              <w:rPr>
                <w:rFonts w:ascii="Arial" w:hAnsi="Arial" w:cs="Arial"/>
              </w:rPr>
              <w:t>56,63 (±</w:t>
            </w:r>
            <w:r>
              <w:rPr>
                <w:rFonts w:ascii="Arial" w:hAnsi="Arial" w:cs="Arial"/>
              </w:rPr>
              <w:t xml:space="preserve"> </w:t>
            </w:r>
            <w:r w:rsidRPr="00EF52F6">
              <w:rPr>
                <w:rFonts w:ascii="Arial" w:hAnsi="Arial" w:cs="Arial"/>
              </w:rPr>
              <w:t>20,7)</w:t>
            </w:r>
          </w:p>
        </w:tc>
        <w:tc>
          <w:tcPr>
            <w:tcW w:w="744" w:type="pct"/>
          </w:tcPr>
          <w:p w14:paraId="4B0A0EED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&lt;0,001</w:t>
            </w:r>
          </w:p>
        </w:tc>
      </w:tr>
    </w:tbl>
    <w:p w14:paraId="74AE7A21" w14:textId="77777777" w:rsidR="008D19B2" w:rsidRDefault="008D19B2">
      <w:pPr>
        <w:jc w:val="center"/>
        <w:pPrChange w:id="0" w:author="mary.inoue@fap.local" w:date="2026-09-22T12:31:00Z" w16du:dateUtc="2026-09-22T16:31:00Z">
          <w:pPr/>
        </w:pPrChange>
      </w:pPr>
    </w:p>
    <w:sectPr w:rsidR="008D19B2" w:rsidSect="00A40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0172AA"/>
    <w:rsid w:val="00064320"/>
    <w:rsid w:val="00094AC5"/>
    <w:rsid w:val="000D276A"/>
    <w:rsid w:val="00102B3A"/>
    <w:rsid w:val="00132F7D"/>
    <w:rsid w:val="00140891"/>
    <w:rsid w:val="00155120"/>
    <w:rsid w:val="00163BDD"/>
    <w:rsid w:val="001F3B9E"/>
    <w:rsid w:val="00246164"/>
    <w:rsid w:val="00260322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5E54C3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E6919"/>
    <w:rsid w:val="00875E83"/>
    <w:rsid w:val="00890013"/>
    <w:rsid w:val="008A41B7"/>
    <w:rsid w:val="008C61C6"/>
    <w:rsid w:val="008D0EF2"/>
    <w:rsid w:val="008D19B2"/>
    <w:rsid w:val="00901CD7"/>
    <w:rsid w:val="009438AE"/>
    <w:rsid w:val="009801CD"/>
    <w:rsid w:val="009B31F7"/>
    <w:rsid w:val="009C4CE8"/>
    <w:rsid w:val="00A2270B"/>
    <w:rsid w:val="00A24980"/>
    <w:rsid w:val="00A4075E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21090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paragraph" w:customStyle="1" w:styleId="Default">
    <w:name w:val="Default"/>
    <w:rsid w:val="006507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