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81AB2EBD">
      <w:pPr>
        <w:spacing w:line="276"/>
      </w:pPr>
      <w:r>
        <w:rPr>
          <w:b/>
          <w:bCs/>
          <w:highlight w:val="yellow"/>
          <w:u w:val="single"/>
        </w:rPr>
        <w:t>Bold Underline Highlight Demo</w:t>
      </w:r>
    </w:p>
    <w:p w14:paraId="EE3B55B4">
      <w:r>
        <w:rPr>
          <w:b/>
          <w:bCs/>
          <w:highlight w:val="yellow"/>
          <w:u w:val="single"/>
        </w:rPr>
        <w:t>This document shows bold, underline, and yellow highlight combined.</w:t>
      </w:r>
    </w:p>
    <w:p w14:paraId="19A41799">
      <w:r>
        <w:rPr>
          <w:b/>
          <w:bCs/>
          <w:highlight w:val="yellow"/>
          <w:u w:val="single"/>
        </w:rPr>
        <w:t>This triple combination is used for critical review annotations.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2026-05-14T17:17:26.587Z</dcterms:created>
  <dcterms:modified xsi:type="dcterms:W3CDTF">2026-05-14T17:17:26.620Z</dcterms:modified>
</cp:coreProperties>
</file>