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9672BFF">
      <w:pPr>
        <w:spacing w:line="276"/>
      </w:pPr>
      <w:r>
        <w:rPr>
          <w:i/>
          <w:iCs/>
          <w:vertAlign w:val="subscript"/>
        </w:rPr>
        <w:t>Italic Subscript Demo</w:t>
      </w:r>
    </w:p>
    <w:p w14:paraId="6D17C75A">
      <w:r>
        <w:rPr>
          <w:i/>
          <w:iCs/>
          <w:vertAlign w:val="subscript"/>
        </w:rPr>
        <w:t>This document shows italic with subscript formatting combined.</w:t>
      </w:r>
    </w:p>
    <w:p w14:paraId="5CAB8E4E">
      <w:r>
        <w:rPr>
          <w:i/>
          <w:iCs/>
          <w:vertAlign w:val="subscript"/>
        </w:rPr>
        <w:t>Italic subscript is used in chemistry and biology equations.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2026-05-14T17:17:52.486Z</dcterms:created>
  <dcterms:modified xsi:type="dcterms:W3CDTF">2026-05-14T17:17:52.511Z</dcterms:modified>
</cp:coreProperties>
</file>