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980B2DE">
      <w:pPr>
        <w:spacing w:line="276"/>
      </w:pPr>
      <w:r>
        <w:rPr>
          <w:vertAlign w:val="subscript"/>
        </w:rPr>
        <w:t>Subscript Demo</w:t>
      </w:r>
    </w:p>
    <w:p w14:paraId="C8D4A4B0">
      <w:r>
        <w:rPr>
          <w:vertAlign w:val="subscript"/>
        </w:rPr>
        <w:t>This document demonstrates subscript formatting.</w:t>
      </w:r>
    </w:p>
    <w:p w14:paraId="BCE3A4C3">
      <w:r>
        <w:rPr>
          <w:vertAlign w:val="subscript"/>
        </w:rPr>
        <w:t>H2O and CO2 use subscript numbers in chemical notation.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2026-05-14T17:05:39.229Z</dcterms:created>
  <dcterms:modified xsi:type="dcterms:W3CDTF">2026-05-14T17:05:39.263Z</dcterms:modified>
</cp:coreProperties>
</file>