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07954" w14:textId="77777777">
      <w:r>
        <w:rPr>
          <w:rFonts w:ascii="Roboto, sans-serif" w:hAnsi="Roboto, sans-serif" w:cs="Roboto, sans-serif"/>
        </w:rPr>
        <w:t>Roboto Font Demo</w:t>
      </w:r>
    </w:p>
    <w:p w14:paraId="1C3B65CF" w14:textId="77777777">
      <w:r>
        <w:rPr>
          <w:rFonts w:ascii="Roboto, sans-serif" w:hAnsi="Roboto, sans-serif" w:cs="Roboto, sans-serif"/>
        </w:rPr>
        <w:t>This document demonstrates the Roboto font family.</w:t>
      </w:r>
    </w:p>
    <w:p>
      <w:r>
        <w:rPr>
          <w:rFonts w:ascii="Roboto, sans-serif" w:hAnsi="Roboto, sans-serif" w:cs="Roboto, sans-serif"/>
        </w:rPr>
        <w:t>Roboto is a modern geometric sans-serif typeface by Google.</w:t>
      </w:r>
      <w:r>
        <w:t xml:space="preserve"> with testing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CD9"/>
    <w:rsid w:val="00325BC5"/>
    <w:rsid w:val="0043219E"/>
    <w:rsid w:val="00B662F0"/>
    <w:rsid w:val="00C81EF5"/>
    <w:rsid w:val="00FE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E9900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2026-06-29T15:19:00Z</dcterms:modified>
</cp:coreProperties>
</file>