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0A039EC">
      <w:pPr>
        <w:spacing w:line="276"/>
      </w:pPr>
      <w:r>
        <w:rPr>
          <w:rFonts w:ascii="&quot;Open Sans&quot;, sans-serif" w:hAnsi="&quot;Open Sans&quot;, sans-serif" w:cs="&quot;Open Sans&quot;, sans-serif"/>
        </w:rPr>
        <w:t>Open Sans Font Demo</w:t>
      </w:r>
    </w:p>
    <w:p w14:paraId="20C62A4A">
      <w:r>
        <w:rPr>
          <w:rFonts w:ascii="&quot;Open Sans&quot;, sans-serif" w:hAnsi="&quot;Open Sans&quot;, sans-serif" w:cs="&quot;Open Sans&quot;, sans-serif"/>
        </w:rPr>
        <w:t>This document demonstrates the Open Sans font family.</w:t>
      </w:r>
    </w:p>
    <w:p w14:paraId="C57B51F9">
      <w:r>
        <w:rPr>
          <w:rFonts w:ascii="&quot;Open Sans&quot;, sans-serif" w:hAnsi="&quot;Open Sans&quot;, sans-serif" w:cs="&quot;Open Sans&quot;, sans-serif"/>
        </w:rPr>
        <w:t>Open Sans is a humanist sans-serif typeface for digital use.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2026-05-14T17:11:16.358Z</dcterms:created>
  <dcterms:modified xsi:type="dcterms:W3CDTF">2026-05-14T17:11:16.374Z</dcterms:modified>
</cp:coreProperties>
</file>