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A95FD63D">
      <w:pPr>
        <w:spacing w:line="276"/>
      </w:pPr>
      <w:r>
        <w:rPr>
          <w:rFonts w:ascii="Verdana, Geneva, sans-serif" w:hAnsi="Verdana, Geneva, sans-serif" w:cs="Verdana, Geneva, sans-serif"/>
        </w:rPr>
        <w:t>Verdana Font Demo</w:t>
      </w:r>
    </w:p>
    <w:p w14:paraId="A375D6EE">
      <w:r>
        <w:rPr>
          <w:rFonts w:ascii="Verdana, Geneva, sans-serif" w:hAnsi="Verdana, Geneva, sans-serif" w:cs="Verdana, Geneva, sans-serif"/>
        </w:rPr>
        <w:t>This document demonstrates the Verdana font family.</w:t>
      </w:r>
    </w:p>
    <w:p w14:paraId="6A0DACE0">
      <w:r>
        <w:rPr>
          <w:rFonts w:ascii="Verdana, Geneva, sans-serif" w:hAnsi="Verdana, Geneva, sans-serif" w:cs="Verdana, Geneva, sans-serif"/>
        </w:rPr>
        <w:t>Verdana is designed for screen readability at small sizes.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2026-05-14T17:11:05.862Z</dcterms:created>
  <dcterms:modified xsi:type="dcterms:W3CDTF">2026-05-14T17:11:05.899Z</dcterms:modified>
</cp:coreProperties>
</file>