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6583549">
      <w:pPr>
        <w:spacing w:line="276"/>
      </w:pPr>
      <w:r>
        <w:rPr>
          <w:b/>
          <w:bCs/>
          <w:i/>
          <w:iCs/>
        </w:rPr>
        <w:t>Bold and Italic Combo Demo</w:t>
      </w:r>
    </w:p>
    <w:p w14:paraId="04A7BF8D">
      <w:r>
        <w:rPr>
          <w:b/>
          <w:bCs/>
          <w:i/>
          <w:iCs/>
        </w:rPr>
        <w:t>Demonstrating bold and italic combined.</w:t>
      </w:r>
    </w:p>
    <w:p w14:paraId="73D492BE">
      <w:r>
        <w:rPr>
          <w:b/>
          <w:bCs/>
          <w:i/>
          <w:iCs/>
        </w:rPr>
        <w:t>This text is both bold and italic simultaneously.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2026-05-14T16:55:47.739Z</dcterms:created>
  <dcterms:modified xsi:type="dcterms:W3CDTF">2026-05-14T16:55:47.757Z</dcterms:modified>
</cp:coreProperties>
</file>