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5708A75">
      <w:pPr>
        <w:spacing w:line="276"/>
      </w:pPr>
      <w:r>
        <w:rPr>
          <w:sz w:val="32"/>
          <w:szCs w:val="32"/>
        </w:rPr>
        <w:t>Font Size 18 Demo</w:t>
      </w:r>
    </w:p>
    <w:p w14:paraId="21461471">
      <w:r>
        <w:rPr>
          <w:sz w:val="32"/>
          <w:szCs w:val="32"/>
        </w:rPr>
        <w:t>This document demonstrates font size 18 point text.</w:t>
      </w:r>
    </w:p>
    <w:p w14:paraId="7CB28F61">
      <w:r>
        <w:rPr>
          <w:sz w:val="32"/>
          <w:szCs w:val="32"/>
        </w:rPr>
        <w:t>Medium-large font sizes balance readability and space.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2026-05-14T17:09:52.560Z</dcterms:created>
  <dcterms:modified xsi:type="dcterms:W3CDTF">2026-05-14T17:09:52.577Z</dcterms:modified>
</cp:coreProperties>
</file>