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bookmarkStart w:id="1" w:name="_Toc1"/>
      <w:r>
        <w:t>Obsluha fitness centra</w:t>
      </w:r>
      <w:bookmarkEnd w:id="1"/>
    </w:p>
    <w:p>
      <w:pPr/>
      <w:r>
        <w:rPr/>
        <w:t xml:space="preserve">Obsluha fitness centra zajišťuje provoz fitness centra, obsluhuje posilovací stroje, poskytuje poradenství v oblasti zdravého životního stylu a  skladuje, eviduje a prodává doplňky stravy.</w:t>
      </w:r>
    </w:p>
    <w:p/>
    <w:tbl>
      <w:tblGrid>
        <w:gridCol w:w="3000" w:type="dxa"/>
        <w:gridCol w:w="6000" w:type="dxa"/>
      </w:tblGrid>
      <w:tblPr>
        <w:jc w:val="start"/>
        <w:tblW w:w="0" w:type="auto"/>
        <w:tblCellSpacing w:w="50" w:type="dxa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3000" w:type="dxa"/>
          </w:tcPr>
          <w:p>
            <w:pPr/>
            <w:r>
              <w:rPr>
                <w:b w:val="1"/>
                <w:bCs w:val="1"/>
              </w:rPr>
              <w:t xml:space="preserve">Odborný směr:</w:t>
            </w:r>
          </w:p>
        </w:tc>
        <w:tc>
          <w:tcPr>
            <w:tcW w:w="6000" w:type="dxa"/>
          </w:tcPr>
          <w:p>
            <w:pPr/>
            <w:r>
              <w:rPr/>
              <w:t xml:space="preserve">Pohostinství a cestovní ruch</w:t>
            </w:r>
          </w:p>
        </w:tc>
      </w:tr>
      <w:tr>
        <w:trPr/>
        <w:tc>
          <w:tcPr/>
          <w:p>
            <w:pPr/>
            <w:r>
              <w:rPr>
                <w:b w:val="1"/>
                <w:bCs w:val="1"/>
              </w:rPr>
              <w:t xml:space="preserve">Kvalifikační úroveň:</w:t>
            </w:r>
          </w:p>
        </w:tc>
        <w:tc>
          <w:tcPr/>
          <w:p>
            <w:pPr/>
            <w:r>
              <w:rPr/>
              <w:t xml:space="preserve">Střední vzdělání s výučním listem tříleté</w:t>
            </w:r>
          </w:p>
        </w:tc>
      </w:tr>
      <w:tr>
        <w:trPr/>
        <w:tc>
          <w:tcPr/>
          <w:p>
            <w:pPr/>
            <w:r>
              <w:rPr>
                <w:b w:val="1"/>
                <w:bCs w:val="1"/>
              </w:rPr>
              <w:t xml:space="preserve">Alternativní názvy:</w:t>
            </w:r>
          </w:p>
        </w:tc>
        <w:tc>
          <w:tcPr/>
          <w:p>
            <w:pPr/>
            <w:r>
              <w:rPr/>
              <w:t xml:space="preserve">Obsluha fitnesscentra, Obsluha sportovního střediska, Obsluha cvičebních strojů, Betreiber eines Fitnesscenters, Fitness center operator</w:t>
            </w:r>
          </w:p>
        </w:tc>
      </w:tr>
      <w:tr>
        <w:trPr/>
        <w:tc>
          <w:tcPr/>
          <w:p>
            <w:pPr/>
            <w:r>
              <w:rPr>
                <w:b w:val="1"/>
                <w:bCs w:val="1"/>
              </w:rPr>
              <w:t xml:space="preserve">Regulovaná jednotka práce:</w:t>
            </w:r>
          </w:p>
        </w:tc>
        <w:tc>
          <w:tcPr/>
          <w:p>
            <w:pPr/>
            <w:r>
              <w:rPr/>
              <w:t xml:space="preserve">ne</w:t>
            </w:r>
          </w:p>
        </w:tc>
      </w:tr>
    </w:tbl>
    <w:p/>
    <w:p>
      <w:pPr>
        <w:pStyle w:val="Heading2"/>
      </w:pPr>
      <w:bookmarkStart w:id="2" w:name="_Toc2"/>
      <w:r>
        <w:t>Pracovní činnosti</w:t>
      </w:r>
      <w:bookmarkEnd w:id="2"/>
    </w:p>
    <w:p>
      <w:pPr>
        <w:numPr>
          <w:ilvl w:val="0"/>
          <w:numId w:val="5"/>
        </w:numPr>
      </w:pPr>
      <w:r>
        <w:rPr/>
        <w:t xml:space="preserve">Organizace a řízení provozu fitness centra.</w:t>
      </w:r>
    </w:p>
    <w:p>
      <w:pPr>
        <w:numPr>
          <w:ilvl w:val="0"/>
          <w:numId w:val="5"/>
        </w:numPr>
      </w:pPr>
      <w:r>
        <w:rPr/>
        <w:t xml:space="preserve">Obsluha a údržba posilovacích strojů.</w:t>
      </w:r>
    </w:p>
    <w:p>
      <w:pPr>
        <w:numPr>
          <w:ilvl w:val="0"/>
          <w:numId w:val="5"/>
        </w:numPr>
      </w:pPr>
      <w:r>
        <w:rPr/>
        <w:t xml:space="preserve">Poskytování poradenství o způsobu cvičení na různých druzích posilovacích strojů.</w:t>
      </w:r>
    </w:p>
    <w:p>
      <w:pPr>
        <w:numPr>
          <w:ilvl w:val="0"/>
          <w:numId w:val="5"/>
        </w:numPr>
      </w:pPr>
      <w:r>
        <w:rPr/>
        <w:t xml:space="preserve">Poskytování poradenství v oblasti zdravého životního stylu včetně zdravé výživy, doplňků stravy a pitného režimu.</w:t>
      </w:r>
    </w:p>
    <w:p>
      <w:pPr>
        <w:numPr>
          <w:ilvl w:val="0"/>
          <w:numId w:val="5"/>
        </w:numPr>
      </w:pPr>
      <w:r>
        <w:rPr/>
        <w:t xml:space="preserve">Vysvětlení a předvedení posilovacích cviků, včetně techniky provedení pohybu a korekce nesprávného provedení.</w:t>
      </w:r>
    </w:p>
    <w:p>
      <w:pPr>
        <w:numPr>
          <w:ilvl w:val="0"/>
          <w:numId w:val="5"/>
        </w:numPr>
      </w:pPr>
      <w:r>
        <w:rPr/>
        <w:t xml:space="preserve">Analýza držení těla v polohách a pohybech a analýza pohybových stereotypů pro potřeby posilovacích forem cvičení.</w:t>
      </w:r>
    </w:p>
    <w:p>
      <w:pPr>
        <w:numPr>
          <w:ilvl w:val="0"/>
          <w:numId w:val="5"/>
        </w:numPr>
      </w:pPr>
      <w:r>
        <w:rPr/>
        <w:t xml:space="preserve">Dozor nad návštěvníky fitcentra v souladu se schváleným provozním řádem.</w:t>
      </w:r>
    </w:p>
    <w:p>
      <w:pPr>
        <w:numPr>
          <w:ilvl w:val="0"/>
          <w:numId w:val="5"/>
        </w:numPr>
      </w:pPr>
      <w:r>
        <w:rPr/>
        <w:t xml:space="preserve">Vedení provozního deníku vč. záznamu o úrazech a péče o stav lékárničky.</w:t>
      </w:r>
    </w:p>
    <w:p/>
    <w:p>
      <w:pPr>
        <w:pStyle w:val="Heading2"/>
      </w:pPr>
      <w:bookmarkStart w:id="3" w:name="_Toc3"/>
      <w:r>
        <w:t>CZ-ISCO</w:t>
      </w:r>
      <w:bookmarkEnd w:id="3"/>
    </w:p>
    <w:p>
      <w:pPr>
        <w:numPr>
          <w:ilvl w:val="0"/>
          <w:numId w:val="5"/>
        </w:numPr>
      </w:pPr>
      <w:r>
        <w:rPr/>
        <w:t xml:space="preserve">Pracovníci v oblasti osobních služeb jinde neuvedení</w:t>
      </w:r>
    </w:p>
    <w:p>
      <w:pPr>
        <w:numPr>
          <w:ilvl w:val="0"/>
          <w:numId w:val="5"/>
        </w:numPr>
      </w:pPr>
      <w:r>
        <w:rPr/>
        <w:t xml:space="preserve">Pracovníci v oblasti osobních služeb jinde neuvedení</w:t>
      </w:r>
    </w:p>
    <w:p/>
    <w:p>
      <w:pPr>
        <w:pStyle w:val="Heading3"/>
      </w:pPr>
      <w:bookmarkStart w:id="4" w:name="_Toc4"/>
      <w:r>
        <w:t>Hrubé měsíční mzdy podle krajů v roce 2020</w:t>
      </w:r>
      <w:bookmarkEnd w:id="4"/>
    </w:p>
    <w:p>
      <w:pPr>
        <w:pStyle w:val="Heading4"/>
      </w:pPr>
      <w:bookmarkStart w:id="5" w:name="_Toc5"/>
      <w:r>
        <w:t>Pracovníci v oblasti osobních služeb jinde neuvedení (CZ-ISCO 5169)</w:t>
      </w:r>
      <w:bookmarkEnd w:id="5"/>
    </w:p>
    <w:tbl>
      <w:tblGrid>
        <w:gridCol w:w="2400" w:type="dxa"/>
        <w:gridCol w:w="1100" w:type="dxa"/>
        <w:gridCol w:w="1100" w:type="dxa"/>
        <w:gridCol w:w="1100" w:type="dxa"/>
        <w:gridCol w:w="1100" w:type="dxa"/>
        <w:gridCol w:w="1100" w:type="dxa"/>
        <w:gridCol w:w="1100" w:type="dxa"/>
      </w:tblGrid>
      <w:tblPr>
        <w:jc w:val="start"/>
        <w:tblW w:w="0" w:type="auto"/>
        <w:tblCellSpacing w:w="50" w:type="dxa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2400" w:type="dxa"/>
          </w:tcPr>
          <w:p/>
        </w:tc>
        <w:tc>
          <w:tcPr>
            <w:tcW w:w="3300" w:type="dxa"/>
            <w:gridSpan w:val="3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Mzdová sféra</w:t>
            </w:r>
          </w:p>
        </w:tc>
        <w:tc>
          <w:tcPr>
            <w:tcW w:w="3300" w:type="dxa"/>
            <w:gridSpan w:val="3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Platová sféra</w:t>
            </w:r>
          </w:p>
        </w:tc>
      </w:tr>
      <w:tr>
        <w:trPr/>
        <w:tc>
          <w:tcPr>
            <w:tcW w:w="2400" w:type="dxa"/>
          </w:tcPr>
          <w:p>
            <w:pPr/>
            <w:r>
              <w:rPr>
                <w:b w:val="1"/>
                <w:bCs w:val="1"/>
              </w:rPr>
              <w:t xml:space="preserve">Kraj</w:t>
            </w:r>
          </w:p>
        </w:tc>
        <w:tc>
          <w:tcPr>
            <w:tcW w:w="11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Od</w:t>
            </w:r>
          </w:p>
        </w:tc>
        <w:tc>
          <w:tcPr>
            <w:tcW w:w="11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Medián</w:t>
            </w:r>
          </w:p>
        </w:tc>
        <w:tc>
          <w:tcPr>
            <w:tcW w:w="11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Do</w:t>
            </w:r>
          </w:p>
        </w:tc>
        <w:tc>
          <w:tcPr>
            <w:tcW w:w="11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Od</w:t>
            </w:r>
          </w:p>
        </w:tc>
        <w:tc>
          <w:tcPr>
            <w:tcW w:w="11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Medián</w:t>
            </w:r>
          </w:p>
        </w:tc>
        <w:tc>
          <w:tcPr>
            <w:tcW w:w="11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Do</w:t>
            </w:r>
          </w:p>
        </w:tc>
      </w:tr>
      <w:tr>
        <w:trPr/>
        <w:tc>
          <w:tcPr>
            <w:tcW w:w="2000" w:type="dxa"/>
          </w:tcPr>
          <w:p>
            <w:pPr/>
            <w:r>
              <w:rPr/>
              <w:t xml:space="preserve">Karlovarský kraj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18 538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20 740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23 835 Kč</w:t>
            </w:r>
          </w:p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</w:tr>
      <w:tr>
        <w:trPr/>
        <w:tc>
          <w:tcPr>
            <w:tcW w:w="2000" w:type="dxa"/>
          </w:tcPr>
          <w:p>
            <w:pPr/>
            <w:r>
              <w:rPr/>
              <w:t xml:space="preserve">Olomoucký kraj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17 805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22 604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31 433 Kč</w:t>
            </w:r>
          </w:p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  <w:tc>
          <w:tcPr>
            <w:tcW w:w="1000" w:type="dxa"/>
          </w:tcPr>
          <w:p/>
        </w:tc>
      </w:tr>
    </w:tbl>
    <w:p/>
    <w:p>
      <w:pPr>
        <w:pStyle w:val="Heading3"/>
      </w:pPr>
      <w:bookmarkStart w:id="6" w:name="_Toc6"/>
      <w:r>
        <w:t>Hrubé měsíční mzdy v roce 2020 celkem</w:t>
      </w:r>
      <w:bookmarkEnd w:id="6"/>
    </w:p>
    <w:tbl>
      <w:tblGrid>
        <w:gridCol w:w="1000" w:type="dxa"/>
        <w:gridCol w:w="2000" w:type="dxa"/>
        <w:gridCol w:w="3000" w:type="dxa"/>
        <w:gridCol w:w="3000" w:type="dxa"/>
      </w:tblGrid>
      <w:tblPr>
        <w:jc w:val="start"/>
        <w:tblW w:w="0" w:type="auto"/>
        <w:tblCellSpacing w:w="50" w:type="dxa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3000" w:type="dxa"/>
            <w:gridSpan w:val="2"/>
          </w:tcPr>
          <w:p/>
        </w:tc>
        <w:tc>
          <w:tcPr>
            <w:tcW w:w="6000" w:type="dxa"/>
            <w:gridSpan w:val="2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Medián za ČR celkem</w:t>
            </w:r>
          </w:p>
        </w:tc>
      </w:tr>
      <w:tr>
        <w:trPr/>
        <w:tc>
          <w:tcPr>
            <w:tcW w:w="1000" w:type="dxa"/>
          </w:tcPr>
          <w:p>
            <w:pPr/>
            <w:r>
              <w:rPr>
                <w:b w:val="1"/>
                <w:bCs w:val="1"/>
              </w:rPr>
              <w:t xml:space="preserve">CZ-ISCO</w:t>
            </w:r>
          </w:p>
        </w:tc>
        <w:tc>
          <w:tcPr>
            <w:tcW w:w="2000" w:type="dxa"/>
          </w:tcPr>
          <w:p/>
        </w:tc>
        <w:tc>
          <w:tcPr>
            <w:tcW w:w="3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Mzdová sféra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Platová sféra</w:t>
            </w:r>
          </w:p>
        </w:tc>
      </w:tr>
      <w:tr>
        <w:trPr/>
        <w:tc>
          <w:tcPr>
            <w:tcW w:w="1000" w:type="dxa"/>
          </w:tcPr>
          <w:p>
            <w:pPr>
              <w:jc w:val="center"/>
            </w:pPr>
            <w:r>
              <w:rPr/>
              <w:t xml:space="preserve">5169</w:t>
            </w:r>
          </w:p>
        </w:tc>
        <w:tc>
          <w:tcPr>
            <w:tcW w:w="2000" w:type="dxa"/>
          </w:tcPr>
          <w:p>
            <w:pPr/>
            <w:r>
              <w:rPr/>
              <w:t xml:space="preserve">Pracovníci v oblasti osobních služeb jinde neuvedení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25 496 Kč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19 773 Kč</w:t>
            </w:r>
          </w:p>
        </w:tc>
      </w:tr>
    </w:tbl>
    <w:p/>
    <w:p>
      <w:pPr>
        <w:pStyle w:val="Heading2"/>
      </w:pPr>
      <w:bookmarkStart w:id="7" w:name="_Toc7"/>
      <w:r>
        <w:t>ESCO</w:t>
      </w:r>
      <w:bookmarkEnd w:id="7"/>
    </w:p>
    <w:tbl>
      <w:tblGrid>
        <w:gridCol w:w="3000" w:type="dxa"/>
        <w:gridCol w:w="3000" w:type="dxa"/>
        <w:gridCol w:w="3000" w:type="dxa"/>
      </w:tblGrid>
      <w:tblPr>
        <w:jc w:val="start"/>
        <w:tblW w:w="0" w:type="auto"/>
        <w:tblCellSpacing w:w="50" w:type="dxa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3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Kód podskupiny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Název podskupiny v ESCO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URL - podskupiny v ESCO</w:t>
            </w:r>
          </w:p>
        </w:tc>
      </w:tr>
      <w:tr>
        <w:trPr/>
        <w:tc>
          <w:tcPr>
            <w:tcW w:w="3000" w:type="dxa"/>
          </w:tcPr>
          <w:p>
            <w:pPr/>
            <w:r>
              <w:rPr/>
              <w:t xml:space="preserve">5169</w:t>
            </w:r>
          </w:p>
        </w:tc>
        <w:tc>
          <w:tcPr>
            <w:tcW w:w="3000" w:type="dxa"/>
          </w:tcPr>
          <w:p>
            <w:pPr/>
            <w:r>
              <w:rPr/>
              <w:t xml:space="preserve">Pracovníci v oblasti osobních služeb jinde neuvedení</w:t>
            </w:r>
          </w:p>
        </w:tc>
        <w:tc>
          <w:tcPr>
            <w:tcW w:w="3000" w:type="dxa"/>
          </w:tcPr>
          <w:p>
            <w:pPr/>
            <w:r>
              <w:rPr/>
              <w:t xml:space="preserve">http://data.europa.eu/esco/isco/C5169</w:t>
            </w:r>
          </w:p>
        </w:tc>
      </w:tr>
    </w:tbl>
    <w:p/>
    <w:p/>
    <w:p/>
    <w:p>
      <w:pPr>
        <w:pStyle w:val="Heading2"/>
      </w:pPr>
      <w:bookmarkStart w:id="8" w:name="_Toc8"/>
      <w:r>
        <w:t>Pracovní podmínky</w:t>
      </w:r>
      <w:bookmarkEnd w:id="8"/>
    </w:p>
    <w:tbl>
      <w:tblGrid>
        <w:gridCol w:w="5000" w:type="dxa"/>
        <w:gridCol w:w="1000" w:type="dxa"/>
        <w:gridCol w:w="1000" w:type="dxa"/>
        <w:gridCol w:w="1000" w:type="dxa"/>
        <w:gridCol w:w="1000" w:type="dxa"/>
      </w:tblGrid>
      <w:tblPr>
        <w:jc w:val="start"/>
        <w:tblW w:w="0" w:type="auto"/>
        <w:tblCellSpacing w:w="50" w:type="dxa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Název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1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2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3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4</w:t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Zátěž hlukem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Celková fyzická zátěž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Zátěž trupu a páteře s převahou statické práce (manipulace s břemeny)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Duševní zátěž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Zvýšené riziko úrazu pracovníka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Pracovní doba, směnnost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Zátěž teplem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Zátěž chladem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Zátěž vibracemi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Zátěž prachem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Zátěž chemickými látkami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Zátěž invazivními alergeny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Zátěž biologickými činiteli způsobujícími onemocnění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Zátěž ionizujícím zářením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Zátěž neionizujícím zářením a elektromagnetickým polem včetně laserů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Zraková zátěž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Lokální zátěž - zátěž malých svalových skupin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Lokální zátěž jemné motoriky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Zátěž prací v omezeném nebo uzavřeném prostoru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Zátěž prací v nevhodných pracovních polohách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Práce ve výškách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5000" w:type="dxa"/>
          </w:tcPr>
          <w:p>
            <w:pPr/>
            <w:r>
              <w:rPr/>
              <w:t xml:space="preserve">Zvýšené riziko obecného ohrožení</w:t>
            </w:r>
          </w:p>
        </w:tc>
        <w:tc>
          <w:tcPr>
            <w:tcW w:w="1000" w:type="dxa"/>
          </w:tcPr>
          <w:p>
            <w:pPr>
              <w:jc w:val="center"/>
            </w:pPr>
            <w:r>
              <w:rPr/>
              <w:t xml:space="preserve">x</w:t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1000" w:type="dxa"/>
          </w:tcPr>
          <w:p>
            <w:pPr/>
            <w:r>
              <w:rPr/>
              <w:t xml:space="preserve"/>
            </w:r>
          </w:p>
        </w:tc>
      </w:tr>
    </w:tbl>
    <w:p/>
    <w:p>
      <w:pPr/>
      <w:r>
        <w:rPr>
          <w:sz w:val="16"/>
          <w:szCs w:val="16"/>
          <w:i w:val="1"/>
          <w:iCs w:val="1"/>
        </w:rPr>
        <w:t xml:space="preserve">Legenda:</w:t>
      </w:r>
    </w:p>
    <w:p>
      <w:pPr>
        <w:numPr>
          <w:ilvl w:val="0"/>
          <w:numId w:val="5"/>
        </w:numPr>
      </w:pPr>
      <w:r>
        <w:rPr>
          <w:sz w:val="16"/>
          <w:szCs w:val="16"/>
          <w:i w:val="1"/>
          <w:iCs w:val="1"/>
        </w:rPr>
        <w:t xml:space="preserve">1. Stupeň zátěže (minimální zdravotní riziko) - Faktor se při výkonu práce nevyskytuje nebo je zátěž faktorem minimální, vliv faktoru je ze zdravotního hlediska nevýznamný.</w:t>
      </w:r>
    </w:p>
    <w:p>
      <w:pPr>
        <w:numPr>
          <w:ilvl w:val="0"/>
          <w:numId w:val="5"/>
        </w:numPr>
      </w:pPr>
      <w:r>
        <w:rPr>
          <w:sz w:val="16"/>
          <w:szCs w:val="16"/>
          <w:i w:val="1"/>
          <w:iCs w:val="1"/>
        </w:rPr>
        <w:t xml:space="preserve">2. Stupeň zátěže (únosná míra zdravotního rizika) - Ze zdravotního hlediska je míra zátěže faktorem únosná, nepřekračuje limity stanovené předpisy, vliv faktoru je akceptovatelný pro zdravého člověka.</w:t>
      </w:r>
    </w:p>
    <w:p>
      <w:pPr>
        <w:numPr>
          <w:ilvl w:val="0"/>
          <w:numId w:val="5"/>
        </w:numPr>
      </w:pPr>
      <w:r>
        <w:rPr>
          <w:sz w:val="16"/>
          <w:szCs w:val="16"/>
          <w:i w:val="1"/>
          <w:iCs w:val="1"/>
        </w:rPr>
        <w:t xml:space="preserve">3. Stupeň zátěže (významná míra zdravotního rizika) - Úroveň zátěže překračuje stanovené limitní hodnoty expozice (zátěže), na pracovištích je nutná realizace náhradních technických a organizačních opatření, nelze vyloučit negativní vliv na zdraví pracovníků.</w:t>
      </w:r>
    </w:p>
    <w:p>
      <w:pPr>
        <w:numPr>
          <w:ilvl w:val="0"/>
          <w:numId w:val="5"/>
        </w:numPr>
      </w:pPr>
      <w:r>
        <w:rPr>
          <w:sz w:val="16"/>
          <w:szCs w:val="16"/>
          <w:i w:val="1"/>
          <w:iCs w:val="1"/>
        </w:rPr>
        <w:t xml:space="preserve">4. Stupeň zátěže (vysoká míra zdravotního rizika) - Úroveň zátěže vysoce překračuje stanovené limitní hodnoty expozice, na pracovištích musí být dodržován soubor preventivních opatření, častěji dochází k poškození zdraví.</w:t>
      </w:r>
    </w:p>
    <w:p/>
    <w:p/>
    <w:p>
      <w:pPr>
        <w:pStyle w:val="Heading2"/>
      </w:pPr>
      <w:bookmarkStart w:id="9" w:name="_Toc9"/>
      <w:r>
        <w:t>Kvalifikace k výkonu povolání</w:t>
      </w:r>
      <w:bookmarkEnd w:id="9"/>
    </w:p>
    <w:p>
      <w:pPr>
        <w:pStyle w:val="Heading3"/>
      </w:pPr>
      <w:bookmarkStart w:id="10" w:name="_Toc10"/>
      <w:r>
        <w:t>Školní vzdělání</w:t>
      </w:r>
      <w:bookmarkEnd w:id="10"/>
    </w:p>
    <w:p/>
    <w:p>
      <w:pPr>
        <w:pStyle w:val="Heading4"/>
      </w:pPr>
      <w:bookmarkStart w:id="11" w:name="_Toc11"/>
      <w:r>
        <w:t>Nejvhodnější školní přípravu poskytují obory:</w:t>
      </w:r>
      <w:bookmarkEnd w:id="11"/>
    </w:p>
    <w:tbl>
      <w:tblGrid>
        <w:gridCol w:w="2000" w:type="dxa"/>
        <w:gridCol w:w="5000" w:type="dxa"/>
        <w:gridCol w:w="2000" w:type="dxa"/>
      </w:tblGrid>
      <w:tblPr>
        <w:jc w:val="start"/>
        <w:tblW w:w="0" w:type="auto"/>
        <w:tblCellSpacing w:w="50" w:type="dxa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Typ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Název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Kód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RVP</w:t>
            </w:r>
          </w:p>
        </w:tc>
        <w:tc>
          <w:tcPr>
            <w:tcW w:w="5000" w:type="dxa"/>
          </w:tcPr>
          <w:p>
            <w:pPr/>
            <w:r>
              <w:rPr/>
              <w:t xml:space="preserve">Provozní služby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69-54-E/01</w:t>
            </w:r>
          </w:p>
        </w:tc>
      </w:tr>
    </w:tbl>
    <w:p/>
    <w:p>
      <w:pPr>
        <w:pStyle w:val="Heading4"/>
      </w:pPr>
      <w:bookmarkStart w:id="12" w:name="_Toc12"/>
      <w:r>
        <w:t>Vhodnou školní přípravu poskytují také obory:</w:t>
      </w:r>
      <w:bookmarkEnd w:id="12"/>
    </w:p>
    <w:tbl>
      <w:tblGrid>
        <w:gridCol w:w="2000" w:type="dxa"/>
        <w:gridCol w:w="5000" w:type="dxa"/>
        <w:gridCol w:w="2000" w:type="dxa"/>
      </w:tblGrid>
      <w:tblPr>
        <w:jc w:val="start"/>
        <w:tblW w:w="0" w:type="auto"/>
        <w:tblCellSpacing w:w="50" w:type="dxa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Typ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Název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Kód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KKOV</w:t>
            </w:r>
          </w:p>
        </w:tc>
        <w:tc>
          <w:tcPr>
            <w:tcW w:w="5000" w:type="dxa"/>
          </w:tcPr>
          <w:p>
            <w:pPr/>
            <w:r>
              <w:rPr/>
              <w:t xml:space="preserve">Střední vzdělání s výučním listem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xxxxH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KKOV</w:t>
            </w:r>
          </w:p>
        </w:tc>
        <w:tc>
          <w:tcPr>
            <w:tcW w:w="5000" w:type="dxa"/>
          </w:tcPr>
          <w:p>
            <w:pPr/>
            <w:r>
              <w:rPr/>
              <w:t xml:space="preserve">Střední vzdělání s maturitní zkouškou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xxxxL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KKOV</w:t>
            </w:r>
          </w:p>
        </w:tc>
        <w:tc>
          <w:tcPr>
            <w:tcW w:w="5000" w:type="dxa"/>
          </w:tcPr>
          <w:p>
            <w:pPr/>
            <w:r>
              <w:rPr/>
              <w:t xml:space="preserve">Provoz služeb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6953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KKOV</w:t>
            </w:r>
          </w:p>
        </w:tc>
        <w:tc>
          <w:tcPr>
            <w:tcW w:w="5000" w:type="dxa"/>
          </w:tcPr>
          <w:p>
            <w:pPr/>
            <w:r>
              <w:rPr/>
              <w:t xml:space="preserve">Provoz služeb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6953H003</w:t>
            </w:r>
          </w:p>
        </w:tc>
      </w:tr>
    </w:tbl>
    <w:p/>
    <w:p>
      <w:pPr>
        <w:pStyle w:val="Heading2"/>
      </w:pPr>
      <w:bookmarkStart w:id="13" w:name="_Toc13"/>
      <w:r>
        <w:t>Kompetenční požadavky</w:t>
      </w:r>
      <w:bookmarkEnd w:id="13"/>
    </w:p>
    <w:p>
      <w:pPr>
        <w:pStyle w:val="Heading3"/>
      </w:pPr>
      <w:bookmarkStart w:id="14" w:name="_Toc14"/>
      <w:r>
        <w:t>Odborné dovednosti</w:t>
      </w:r>
      <w:bookmarkEnd w:id="14"/>
    </w:p>
    <w:tbl>
      <w:tblGrid>
        <w:gridCol w:w="2000" w:type="dxa"/>
        <w:gridCol w:w="3000" w:type="dxa"/>
        <w:gridCol w:w="2000" w:type="dxa"/>
        <w:gridCol w:w="2000" w:type="dxa"/>
      </w:tblGrid>
      <w:tblPr>
        <w:jc w:val="start"/>
        <w:tblW w:w="0" w:type="auto"/>
        <w:tblCellSpacing w:w="50" w:type="dxa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Kód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Název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Úroveň 1-8</w:t>
            </w:r>
          </w:p>
        </w:tc>
        <w:tc>
          <w:tcPr>
            <w:tcW w:w="2000" w:type="dxa"/>
          </w:tcPr>
          <w:p>
            <w:pPr/>
            <w:r>
              <w:rPr>
                <w:b w:val="1"/>
                <w:bCs w:val="1"/>
              </w:rPr>
              <w:t xml:space="preserve">Vhodnost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l24.E.2023</w:t>
            </w:r>
          </w:p>
        </w:tc>
        <w:tc>
          <w:tcPr>
            <w:tcW w:w="3000" w:type="dxa"/>
          </w:tcPr>
          <w:p>
            <w:pPr/>
            <w:r>
              <w:rPr/>
              <w:t xml:space="preserve">Zajišťování bezpečnosti a ochrany zdraví návštěvníků fitness centra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k21.C.7015</w:t>
            </w:r>
          </w:p>
        </w:tc>
        <w:tc>
          <w:tcPr>
            <w:tcW w:w="3000" w:type="dxa"/>
          </w:tcPr>
          <w:p>
            <w:pPr/>
            <w:r>
              <w:rPr/>
              <w:t xml:space="preserve">Poskytování první pomoci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k12.C.2302</w:t>
            </w:r>
          </w:p>
        </w:tc>
        <w:tc>
          <w:tcPr>
            <w:tcW w:w="3000" w:type="dxa"/>
          </w:tcPr>
          <w:p>
            <w:pPr/>
            <w:r>
              <w:rPr/>
              <w:t xml:space="preserve">Nákup, skladování, evidence, prodej a likvidace doplňků stravy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i31.D.8202</w:t>
            </w:r>
          </w:p>
        </w:tc>
        <w:tc>
          <w:tcPr>
            <w:tcW w:w="3000" w:type="dxa"/>
          </w:tcPr>
          <w:p>
            <w:pPr/>
            <w:r>
              <w:rPr/>
              <w:t xml:space="preserve">Vedení provozního deníku vč. záznamů o úrazech a péče o stav lékárničky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h44.A.5022</w:t>
            </w:r>
          </w:p>
        </w:tc>
        <w:tc>
          <w:tcPr>
            <w:tcW w:w="3000" w:type="dxa"/>
          </w:tcPr>
          <w:p>
            <w:pPr/>
            <w:r>
              <w:rPr/>
              <w:t xml:space="preserve">Provádění úklidu provozu podle dezinfekčního řádu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m31.E.4500</w:t>
            </w:r>
          </w:p>
        </w:tc>
        <w:tc>
          <w:tcPr>
            <w:tcW w:w="3000" w:type="dxa"/>
          </w:tcPr>
          <w:p>
            <w:pPr/>
            <w:r>
              <w:rPr/>
              <w:t xml:space="preserve">Obsluha posilovacích strojů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h44.C.1001</w:t>
            </w:r>
          </w:p>
        </w:tc>
        <w:tc>
          <w:tcPr>
            <w:tcW w:w="3000" w:type="dxa"/>
          </w:tcPr>
          <w:p>
            <w:pPr/>
            <w:r>
              <w:rPr/>
              <w:t xml:space="preserve">Poskytování rad a informací zákazníkům o nabízeném zboží a službách a jejich cenách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h42.C.1914</w:t>
            </w:r>
          </w:p>
        </w:tc>
        <w:tc>
          <w:tcPr>
            <w:tcW w:w="3000" w:type="dxa"/>
          </w:tcPr>
          <w:p>
            <w:pPr/>
            <w:r>
              <w:rPr/>
              <w:t xml:space="preserve">Poradenství v oblasti zdravé výživy, pitného režimu a doplňků stravy ve fitness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k11.D.6043</w:t>
            </w:r>
          </w:p>
        </w:tc>
        <w:tc>
          <w:tcPr>
            <w:tcW w:w="3000" w:type="dxa"/>
          </w:tcPr>
          <w:p>
            <w:pPr/>
            <w:r>
              <w:rPr/>
              <w:t xml:space="preserve">Analýza držení těla v polohách a pohybech a analýza pohybových stereotypů pro potřeby posilovacích forem cvičení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m31.C.6011</w:t>
            </w:r>
          </w:p>
        </w:tc>
        <w:tc>
          <w:tcPr>
            <w:tcW w:w="3000" w:type="dxa"/>
          </w:tcPr>
          <w:p>
            <w:pPr/>
            <w:r>
              <w:rPr/>
              <w:t xml:space="preserve">Vysvětlení a předvedení posilovacích cviků, včetně techniky provedení pohybu a korekce nesprávného provedení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</w:tbl>
    <w:p>
      <w:pPr/>
      <w:r>
        <w:rPr>
          <w:sz w:val="16"/>
          <w:szCs w:val="16"/>
          <w:i w:val="1"/>
          <w:iCs w:val="1"/>
        </w:rPr>
        <w:t xml:space="preserve">Popisy úrovní naleznete zde: https://nsp.cz/downloads/Priloha_c2_manualu.pdf</w:t>
      </w:r>
    </w:p>
    <w:p/>
    <w:p>
      <w:pPr>
        <w:pStyle w:val="Heading3"/>
      </w:pPr>
      <w:bookmarkStart w:id="15" w:name="_Toc15"/>
      <w:r>
        <w:t>Odborné znalosti</w:t>
      </w:r>
      <w:bookmarkEnd w:id="15"/>
    </w:p>
    <w:tbl>
      <w:tblGrid>
        <w:gridCol w:w="2000" w:type="dxa"/>
        <w:gridCol w:w="3000" w:type="dxa"/>
        <w:gridCol w:w="2000" w:type="dxa"/>
        <w:gridCol w:w="2000" w:type="dxa"/>
      </w:tblGrid>
      <w:tblPr>
        <w:jc w:val="start"/>
        <w:tblW w:w="0" w:type="auto"/>
        <w:tblCellSpacing w:w="50" w:type="dxa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Kód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Název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Úroveň 1-8</w:t>
            </w:r>
          </w:p>
        </w:tc>
        <w:tc>
          <w:tcPr>
            <w:tcW w:w="2000" w:type="dxa"/>
          </w:tcPr>
          <w:p>
            <w:pPr/>
            <w:r>
              <w:rPr>
                <w:b w:val="1"/>
                <w:bCs w:val="1"/>
              </w:rPr>
              <w:t xml:space="preserve">Vhodnost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k11._.0007</w:t>
            </w:r>
          </w:p>
        </w:tc>
        <w:tc>
          <w:tcPr>
            <w:tcW w:w="3000" w:type="dxa"/>
          </w:tcPr>
          <w:p>
            <w:pPr/>
            <w:r>
              <w:rPr/>
              <w:t xml:space="preserve">první pomoc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k12._.0080</w:t>
            </w:r>
          </w:p>
        </w:tc>
        <w:tc>
          <w:tcPr>
            <w:tcW w:w="3000" w:type="dxa"/>
          </w:tcPr>
          <w:p>
            <w:pPr/>
            <w:r>
              <w:rPr/>
              <w:t xml:space="preserve">zdravý životní styl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k12._.0099</w:t>
            </w:r>
          </w:p>
        </w:tc>
        <w:tc>
          <w:tcPr>
            <w:tcW w:w="3000" w:type="dxa"/>
          </w:tcPr>
          <w:p>
            <w:pPr/>
            <w:r>
              <w:rPr/>
              <w:t xml:space="preserve">hygienické předpisy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h42._.0001</w:t>
            </w:r>
          </w:p>
        </w:tc>
        <w:tc>
          <w:tcPr>
            <w:tcW w:w="3000" w:type="dxa"/>
          </w:tcPr>
          <w:p>
            <w:pPr/>
            <w:r>
              <w:rPr/>
              <w:t xml:space="preserve">služby fitness a zdravého životního stylu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k11._.0030</w:t>
            </w:r>
          </w:p>
        </w:tc>
        <w:tc>
          <w:tcPr>
            <w:tcW w:w="3000" w:type="dxa"/>
          </w:tcPr>
          <w:p>
            <w:pPr/>
            <w:r>
              <w:rPr/>
              <w:t xml:space="preserve">anatomie, fyziologie a patofyziologie člověka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l24._.0018</w:t>
            </w:r>
          </w:p>
        </w:tc>
        <w:tc>
          <w:tcPr>
            <w:tcW w:w="3000" w:type="dxa"/>
          </w:tcPr>
          <w:p>
            <w:pPr/>
            <w:r>
              <w:rPr/>
              <w:t xml:space="preserve">bezpečnost práce a požární ochrana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h42._.0004</w:t>
            </w:r>
          </w:p>
        </w:tc>
        <w:tc>
          <w:tcPr>
            <w:tcW w:w="3000" w:type="dxa"/>
          </w:tcPr>
          <w:p>
            <w:pPr/>
            <w:r>
              <w:rPr/>
              <w:t xml:space="preserve">provozní řád a bezpečnostní předpisy provozního zařízení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Nutné</w:t>
            </w:r>
          </w:p>
        </w:tc>
      </w:tr>
    </w:tbl>
    <w:p>
      <w:pPr/>
      <w:r>
        <w:rPr>
          <w:sz w:val="16"/>
          <w:szCs w:val="16"/>
          <w:i w:val="1"/>
          <w:iCs w:val="1"/>
        </w:rPr>
        <w:t xml:space="preserve">Popisy úrovní naleznete zde: https://nsp.cz/downloads/Priloha_c2_manualu.pdf</w:t>
      </w:r>
    </w:p>
    <w:p/>
    <w:p>
      <w:pPr>
        <w:pStyle w:val="Heading3"/>
      </w:pPr>
      <w:bookmarkStart w:id="16" w:name="_Toc16"/>
      <w:r>
        <w:t>Obecné dovednosti</w:t>
      </w:r>
      <w:bookmarkEnd w:id="16"/>
    </w:p>
    <w:tbl>
      <w:tblGrid>
        <w:gridCol w:w="2000" w:type="dxa"/>
        <w:gridCol w:w="5000" w:type="dxa"/>
        <w:gridCol w:w="2000" w:type="dxa"/>
      </w:tblGrid>
      <w:tblPr>
        <w:jc w:val="start"/>
        <w:tblW w:w="0" w:type="auto"/>
        <w:tblCellSpacing w:w="50" w:type="dxa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Kód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Název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Úroveň 0-3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b01</w:t>
            </w:r>
          </w:p>
        </w:tc>
        <w:tc>
          <w:tcPr>
            <w:tcW w:w="5000" w:type="dxa"/>
          </w:tcPr>
          <w:p>
            <w:pPr/>
            <w:r>
              <w:rPr/>
              <w:t xml:space="preserve">Počítačová způsobilost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1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b02</w:t>
            </w:r>
          </w:p>
        </w:tc>
        <w:tc>
          <w:tcPr>
            <w:tcW w:w="5000" w:type="dxa"/>
          </w:tcPr>
          <w:p>
            <w:pPr/>
            <w:r>
              <w:rPr/>
              <w:t xml:space="preserve">Způsobilost k řízení osobního automobilu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0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b03</w:t>
            </w:r>
          </w:p>
        </w:tc>
        <w:tc>
          <w:tcPr>
            <w:tcW w:w="5000" w:type="dxa"/>
          </w:tcPr>
          <w:p>
            <w:pPr/>
            <w:r>
              <w:rPr/>
              <w:t xml:space="preserve">Numerická způsobilost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1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b04</w:t>
            </w:r>
          </w:p>
        </w:tc>
        <w:tc>
          <w:tcPr>
            <w:tcW w:w="5000" w:type="dxa"/>
          </w:tcPr>
          <w:p>
            <w:pPr/>
            <w:r>
              <w:rPr/>
              <w:t xml:space="preserve">Ekonomické povědomí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0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b05</w:t>
            </w:r>
          </w:p>
        </w:tc>
        <w:tc>
          <w:tcPr>
            <w:tcW w:w="5000" w:type="dxa"/>
          </w:tcPr>
          <w:p>
            <w:pPr/>
            <w:r>
              <w:rPr/>
              <w:t xml:space="preserve">Právní povědomí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1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b06</w:t>
            </w:r>
          </w:p>
        </w:tc>
        <w:tc>
          <w:tcPr>
            <w:tcW w:w="5000" w:type="dxa"/>
          </w:tcPr>
          <w:p>
            <w:pPr/>
            <w:r>
              <w:rPr/>
              <w:t xml:space="preserve">Jazyková způsobilost v češtině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b07</w:t>
            </w:r>
          </w:p>
        </w:tc>
        <w:tc>
          <w:tcPr>
            <w:tcW w:w="5000" w:type="dxa"/>
          </w:tcPr>
          <w:p>
            <w:pPr/>
            <w:r>
              <w:rPr/>
              <w:t xml:space="preserve">Jazyková způsobilost v angličtině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0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b08</w:t>
            </w:r>
          </w:p>
        </w:tc>
        <w:tc>
          <w:tcPr>
            <w:tcW w:w="5000" w:type="dxa"/>
          </w:tcPr>
          <w:p>
            <w:pPr/>
            <w:r>
              <w:rPr/>
              <w:t xml:space="preserve">Jazyková způsobilost v dalším cizím jazyce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0</w:t>
            </w:r>
          </w:p>
        </w:tc>
      </w:tr>
    </w:tbl>
    <w:p>
      <w:pPr/>
      <w:r>
        <w:rPr>
          <w:sz w:val="16"/>
          <w:szCs w:val="16"/>
          <w:i w:val="1"/>
          <w:iCs w:val="1"/>
        </w:rPr>
        <w:t xml:space="preserve">Popisy úrovní naleznete zde: https://nsp.cz/downloads/Priloha_c10_manualu.pdf</w:t>
      </w:r>
    </w:p>
    <w:p/>
    <w:p>
      <w:pPr>
        <w:pStyle w:val="Heading3"/>
      </w:pPr>
      <w:bookmarkStart w:id="17" w:name="_Toc17"/>
      <w:r>
        <w:t>Digitální kompetence</w:t>
      </w:r>
      <w:bookmarkEnd w:id="17"/>
    </w:p>
    <w:tbl>
      <w:tblGrid>
        <w:gridCol w:w="2000" w:type="dxa"/>
        <w:gridCol w:w="5000" w:type="dxa"/>
        <w:gridCol w:w="2000" w:type="dxa"/>
      </w:tblGrid>
      <w:tblPr>
        <w:jc w:val="start"/>
        <w:tblW w:w="0" w:type="auto"/>
        <w:tblCellSpacing w:w="50" w:type="dxa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Kód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Název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Úroveň 1-4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1.1</w:t>
            </w:r>
          </w:p>
        </w:tc>
        <w:tc>
          <w:tcPr>
            <w:tcW w:w="5000" w:type="dxa"/>
          </w:tcPr>
          <w:p>
            <w:pPr/>
            <w:r>
              <w:rPr/>
              <w:t xml:space="preserve">Prohlížení, vyhledávání a filtrování dat, informací a digitálního obsahu  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4.4</w:t>
            </w:r>
          </w:p>
        </w:tc>
        <w:tc>
          <w:tcPr>
            <w:tcW w:w="5000" w:type="dxa"/>
          </w:tcPr>
          <w:p>
            <w:pPr/>
            <w:r>
              <w:rPr/>
              <w:t xml:space="preserve">Ochrana životního prostředí  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1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4.2</w:t>
            </w:r>
          </w:p>
        </w:tc>
        <w:tc>
          <w:tcPr>
            <w:tcW w:w="5000" w:type="dxa"/>
          </w:tcPr>
          <w:p>
            <w:pPr/>
            <w:r>
              <w:rPr/>
              <w:t xml:space="preserve">Ochrana osobních dat a soukromí  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1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4.1</w:t>
            </w:r>
          </w:p>
        </w:tc>
        <w:tc>
          <w:tcPr>
            <w:tcW w:w="5000" w:type="dxa"/>
          </w:tcPr>
          <w:p>
            <w:pPr/>
            <w:r>
              <w:rPr/>
              <w:t xml:space="preserve">Ochrana zařízení  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1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2.3</w:t>
            </w:r>
          </w:p>
        </w:tc>
        <w:tc>
          <w:tcPr>
            <w:tcW w:w="5000" w:type="dxa"/>
          </w:tcPr>
          <w:p>
            <w:pPr/>
            <w:r>
              <w:rPr/>
              <w:t xml:space="preserve">Spolupráce prostřednictvím digitálních technologií  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2.2</w:t>
            </w:r>
          </w:p>
        </w:tc>
        <w:tc>
          <w:tcPr>
            <w:tcW w:w="5000" w:type="dxa"/>
          </w:tcPr>
          <w:p>
            <w:pPr/>
            <w:r>
              <w:rPr/>
              <w:t xml:space="preserve">Sdílení prostřednictvím digitálních technologií  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2.1</w:t>
            </w:r>
          </w:p>
        </w:tc>
        <w:tc>
          <w:tcPr>
            <w:tcW w:w="5000" w:type="dxa"/>
          </w:tcPr>
          <w:p>
            <w:pPr/>
            <w:r>
              <w:rPr/>
              <w:t xml:space="preserve">Interakce prostřednictvím digitálních technologií  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1.3</w:t>
            </w:r>
          </w:p>
        </w:tc>
        <w:tc>
          <w:tcPr>
            <w:tcW w:w="5000" w:type="dxa"/>
          </w:tcPr>
          <w:p>
            <w:pPr/>
            <w:r>
              <w:rPr/>
              <w:t xml:space="preserve">Správa dat, informací a digitálního obsahu  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1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1.2</w:t>
            </w:r>
          </w:p>
        </w:tc>
        <w:tc>
          <w:tcPr>
            <w:tcW w:w="5000" w:type="dxa"/>
          </w:tcPr>
          <w:p>
            <w:pPr/>
            <w:r>
              <w:rPr/>
              <w:t xml:space="preserve">Hodnocení dat, informací a digitálního obsahu  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5.1</w:t>
            </w:r>
          </w:p>
        </w:tc>
        <w:tc>
          <w:tcPr>
            <w:tcW w:w="5000" w:type="dxa"/>
          </w:tcPr>
          <w:p>
            <w:pPr/>
            <w:r>
              <w:rPr/>
              <w:t xml:space="preserve">Řešení technických problémů  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</w:tbl>
    <w:p>
      <w:pPr/>
      <w:r>
        <w:rPr>
          <w:sz w:val="16"/>
          <w:szCs w:val="16"/>
          <w:i w:val="1"/>
          <w:iCs w:val="1"/>
        </w:rPr>
        <w:t xml:space="preserve">Popisy úrovní naleznete zde: https://nsp.cz/downloads/Priloha_c15_manualu.pdf</w:t>
      </w:r>
    </w:p>
    <w:p/>
    <w:p>
      <w:pPr>
        <w:pStyle w:val="Heading3"/>
      </w:pPr>
      <w:bookmarkStart w:id="18" w:name="_Toc18"/>
      <w:r>
        <w:t>Měkké kompetence</w:t>
      </w:r>
      <w:bookmarkEnd w:id="18"/>
    </w:p>
    <w:tbl>
      <w:tblGrid>
        <w:gridCol w:w="2000" w:type="dxa"/>
        <w:gridCol w:w="5000" w:type="dxa"/>
        <w:gridCol w:w="2000" w:type="dxa"/>
      </w:tblGrid>
      <w:tblPr>
        <w:jc w:val="start"/>
        <w:tblW w:w="0" w:type="auto"/>
        <w:tblCellSpacing w:w="50" w:type="dxa"/>
        <w:tblLayout w:type="autofit"/>
        <w:bidiVisual w:val="0"/>
        <w:tblCellMar>
          <w:top w:w="80" w:type="dxa"/>
          <w:left w:w="80" w:type="dxa"/>
          <w:right w:w="80" w:type="dxa"/>
          <w:bottom w:w="80" w:type="dxa"/>
        </w:tblCellMar>
      </w:tblPr>
      <w:tr>
        <w:trPr/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Kód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Název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Úroveň 0-5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2.1</w:t>
            </w:r>
          </w:p>
        </w:tc>
        <w:tc>
          <w:tcPr>
            <w:tcW w:w="5000" w:type="dxa"/>
          </w:tcPr>
          <w:p>
            <w:pPr/>
            <w:r>
              <w:rPr/>
              <w:t xml:space="preserve">Kompetence k efektivní komunikaci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4.5</w:t>
            </w:r>
          </w:p>
        </w:tc>
        <w:tc>
          <w:tcPr>
            <w:tcW w:w="5000" w:type="dxa"/>
          </w:tcPr>
          <w:p>
            <w:pPr/>
            <w:r>
              <w:rPr/>
              <w:t xml:space="preserve">Kompetence k samostatnosti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4.2</w:t>
            </w:r>
          </w:p>
        </w:tc>
        <w:tc>
          <w:tcPr>
            <w:tcW w:w="5000" w:type="dxa"/>
          </w:tcPr>
          <w:p>
            <w:pPr/>
            <w:r>
              <w:rPr/>
              <w:t xml:space="preserve">Kompetence k plánování a organizování práce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1.4</w:t>
            </w:r>
          </w:p>
        </w:tc>
        <w:tc>
          <w:tcPr>
            <w:tcW w:w="5000" w:type="dxa"/>
          </w:tcPr>
          <w:p>
            <w:pPr/>
            <w:r>
              <w:rPr/>
              <w:t xml:space="preserve">Kompetence ke zvládání stresu a zátěže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3</w:t>
            </w:r>
          </w:p>
        </w:tc>
      </w:tr>
      <w:tr>
        <w:trPr/>
        <w:tc>
          <w:tcPr>
            <w:tcW w:w="2000" w:type="dxa"/>
          </w:tcPr>
          <w:p>
            <w:pPr>
              <w:jc w:val="center"/>
            </w:pPr>
            <w:r>
              <w:rPr/>
              <w:t xml:space="preserve">3.3</w:t>
            </w:r>
          </w:p>
        </w:tc>
        <w:tc>
          <w:tcPr>
            <w:tcW w:w="5000" w:type="dxa"/>
          </w:tcPr>
          <w:p>
            <w:pPr/>
            <w:r>
              <w:rPr/>
              <w:t xml:space="preserve">Kompetence k objevování a orientaci v informacích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rPr/>
              <w:t xml:space="preserve">2</w:t>
            </w:r>
          </w:p>
        </w:tc>
      </w:tr>
    </w:tbl>
    <w:p>
      <w:pPr/>
      <w:r>
        <w:rPr>
          <w:sz w:val="16"/>
          <w:szCs w:val="16"/>
          <w:i w:val="1"/>
          <w:iCs w:val="1"/>
        </w:rPr>
        <w:t xml:space="preserve">Popisy úrovní naleznete zde: https://nsp.cz/downloads/Priloha_c9_manualu.pdf</w:t>
      </w:r>
    </w:p>
    <w:p/>
    <w:p>
      <w:pPr>
        <w:pStyle w:val="Heading2"/>
      </w:pPr>
      <w:bookmarkStart w:id="19" w:name="_Toc19"/>
      <w:r>
        <w:t>Zdravotní podmínky</w:t>
      </w:r>
      <w:bookmarkEnd w:id="19"/>
    </w:p>
    <w:p>
      <w:pPr>
        <w:pStyle w:val="Heading3"/>
      </w:pPr>
      <w:bookmarkStart w:id="20" w:name="_Toc20"/>
      <w:r>
        <w:t>Onemocnění omezující výkon povolání / specializace povolání.</w:t>
      </w:r>
      <w:bookmarkEnd w:id="20"/>
    </w:p>
    <w:p>
      <w:pPr>
        <w:numPr>
          <w:ilvl w:val="0"/>
          <w:numId w:val="5"/>
        </w:numPr>
      </w:pPr>
      <w:r>
        <w:rPr/>
        <w:t xml:space="preserve">Duševní poruchy</w:t>
      </w:r>
    </w:p>
    <w:p>
      <w:pPr>
        <w:numPr>
          <w:ilvl w:val="0"/>
          <w:numId w:val="5"/>
        </w:numPr>
      </w:pPr>
      <w:r>
        <w:rPr/>
        <w:t xml:space="preserve">Těžká, prognosticky závažná onemocnění oběhové soustavy</w:t>
      </w:r>
    </w:p>
    <w:p>
      <w:pPr>
        <w:numPr>
          <w:ilvl w:val="0"/>
          <w:numId w:val="5"/>
        </w:numPr>
      </w:pPr>
      <w:r>
        <w:rPr/>
        <w:t xml:space="preserve">Osoby s kardiostimulátorem</w:t>
      </w:r>
    </w:p>
    <w:p>
      <w:pPr>
        <w:numPr>
          <w:ilvl w:val="0"/>
          <w:numId w:val="5"/>
        </w:numPr>
      </w:pPr>
      <w:r>
        <w:rPr/>
        <w:t xml:space="preserve">Onemocnění oběhové soustavy</w:t>
      </w:r>
    </w:p>
    <w:p>
      <w:pPr>
        <w:numPr>
          <w:ilvl w:val="0"/>
          <w:numId w:val="5"/>
        </w:numPr>
      </w:pPr>
      <w:r>
        <w:rPr/>
        <w:t xml:space="preserve">Nemoci cév a nervů horních končetin</w:t>
      </w:r>
    </w:p>
    <w:p>
      <w:pPr>
        <w:numPr>
          <w:ilvl w:val="0"/>
          <w:numId w:val="5"/>
        </w:numPr>
      </w:pPr>
      <w:r>
        <w:rPr/>
        <w:t xml:space="preserve">Chronická onemocnění dýchacích cest s poruchou funkce včetně alergických onemocnění a těžších funkčně významných deformit hrudníku</w:t>
      </w:r>
    </w:p>
    <w:p>
      <w:pPr>
        <w:numPr>
          <w:ilvl w:val="0"/>
          <w:numId w:val="5"/>
        </w:numPr>
      </w:pPr>
      <w:r>
        <w:rPr/>
        <w:t xml:space="preserve">Onemocnění oběhové soustavy s funkčním omezením</w:t>
      </w:r>
    </w:p>
    <w:p>
      <w:pPr>
        <w:numPr>
          <w:ilvl w:val="0"/>
          <w:numId w:val="5"/>
        </w:numPr>
      </w:pPr>
      <w:r>
        <w:rPr/>
        <w:t xml:space="preserve">Onemocnění končetin s poruchou funkce včetně poúrazových stavů</w:t>
      </w:r>
    </w:p>
    <w:p>
      <w:pPr>
        <w:pStyle w:val="Heading3"/>
      </w:pPr>
      <w:bookmarkStart w:id="21" w:name="_Toc21"/>
      <w:r>
        <w:t>Onemocnění vylučující výkon povolání / specializace povolání.e</w:t>
      </w:r>
      <w:bookmarkEnd w:id="21"/>
    </w:p>
    <w:p>
      <w:pPr>
        <w:numPr>
          <w:ilvl w:val="0"/>
          <w:numId w:val="5"/>
        </w:numPr>
      </w:pPr>
      <w:r>
        <w:rPr/>
        <w:t xml:space="preserve">Záchvatovité a kolapsové stavy</w:t>
      </w:r>
    </w:p>
    <w:p>
      <w:pPr>
        <w:numPr>
          <w:ilvl w:val="0"/>
          <w:numId w:val="5"/>
        </w:numPr>
      </w:pPr>
      <w:r>
        <w:rPr/>
        <w:t xml:space="preserve">Závažná degenerativní a zánětlivá onemocnění pohybového systému</w:t>
      </w:r>
    </w:p>
    <w:p>
      <w:pPr>
        <w:numPr>
          <w:ilvl w:val="0"/>
          <w:numId w:val="5"/>
        </w:numPr>
      </w:pPr>
      <w:r>
        <w:rPr/>
        <w:t xml:space="preserve">Závažná onemocnění páteře</w:t>
      </w:r>
    </w:p>
    <w:p>
      <w:pPr>
        <w:numPr>
          <w:ilvl w:val="0"/>
          <w:numId w:val="5"/>
        </w:numPr>
      </w:pPr>
      <w:r>
        <w:rPr/>
        <w:t xml:space="preserve">Závažná onemocnění pohybového a nervového systému, omezující jemnou motoriku a koordinaci pohybů</w:t>
      </w:r>
    </w:p>
    <w:p>
      <w:pPr>
        <w:numPr>
          <w:ilvl w:val="0"/>
          <w:numId w:val="5"/>
        </w:numPr>
      </w:pPr>
      <w:r>
        <w:rPr/>
        <w:t xml:space="preserve">Nemoci pohybového systému, omezující pohyblivost a svalovou sílu</w:t>
      </w:r>
    </w:p>
    <w:p>
      <w:pPr/>
      <w:r>
        <w:rPr>
          <w:sz w:val="16"/>
          <w:szCs w:val="16"/>
          <w:i w:val="1"/>
          <w:iCs w:val="1"/>
        </w:rPr>
        <w:t xml:space="preserve">Přesné posouzení zdravotního stavu s následným doporučením nebo nedoporučením výkonu této pozice je možné pouze po konzultaci s lékařem.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nsid w:val="F2C43DDE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5">
    <w:abstractNumId w:val="5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after="120"/>
    </w:pPr>
    <w:rPr>
      <w:sz w:val="40"/>
      <w:szCs w:val="40"/>
      <w:b w:val="1"/>
      <w:bCs w:val="1"/>
    </w:rPr>
  </w:style>
  <w:style w:type="paragraph" w:styleId="Heading2">
    <w:link w:val="Heading2Char"/>
    <w:name w:val="heading 2"/>
    <w:basedOn w:val="Normal"/>
    <w:pPr>
      <w:spacing w:after="80"/>
    </w:pPr>
    <w:rPr>
      <w:sz w:val="28"/>
      <w:szCs w:val="28"/>
      <w:b w:val="1"/>
      <w:bCs w:val="1"/>
    </w:rPr>
  </w:style>
  <w:style w:type="paragraph" w:styleId="Heading3">
    <w:link w:val="Heading3Char"/>
    <w:name w:val="heading 3"/>
    <w:basedOn w:val="Normal"/>
    <w:pPr>
      <w:spacing w:after="60"/>
    </w:pPr>
    <w:rPr>
      <w:sz w:val="24"/>
      <w:szCs w:val="24"/>
      <w:b w:val="1"/>
      <w:bCs w:val="1"/>
    </w:rPr>
  </w:style>
  <w:style w:type="paragraph" w:styleId="Heading4">
    <w:link w:val="Heading4Char"/>
    <w:name w:val="heading 4"/>
    <w:basedOn w:val="Normal"/>
    <w:pPr>
      <w:spacing w:after="60"/>
    </w:pPr>
    <w:rPr>
      <w:sz w:val="24"/>
      <w:szCs w:val="24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>FDV</Company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NSP.CZ</dc:creator>
  <dc:title>Obsluha fitness centra</dc:title>
  <dc:description>Obsluha fitness centra zajišťuje provoz fitness centra, obsluhuje posilovací stroje, poskytuje poradenství v oblasti zdravého životního stylu a  skladuje, eviduje a prodává doplňky stravy.</dc:description>
  <dc:subject/>
  <cp:keywords/>
  <cp:category>Povolání</cp:category>
  <cp:lastModifiedBy/>
  <dcterms:created xsi:type="dcterms:W3CDTF">2017-11-22T09:15:08+01:00</dcterms:created>
  <dcterms:modified xsi:type="dcterms:W3CDTF">2020-05-11T16:30:54+02:00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