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B6976041">
      <w:pPr>
        <w:spacing w:line="276"/>
      </w:pPr>
      <w:r>
        <w:rPr>
          <w:b/>
          <w:bCs/>
          <w:strike/>
        </w:rPr>
        <w:t>Strikethrough Bold Demo</w:t>
      </w:r>
    </w:p>
    <w:p w14:paraId="9008CC4F">
      <w:r>
        <w:rPr>
          <w:b/>
          <w:bCs/>
          <w:strike/>
        </w:rPr>
        <w:t>This document combines strikethrough with bold formatting.</w:t>
      </w:r>
    </w:p>
    <w:p w14:paraId="8161F66F">
      <w:r>
        <w:rPr>
          <w:b/>
          <w:bCs/>
          <w:strike/>
        </w:rPr>
        <w:t>Bold strikethrough text shows deleted content more prominently.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2026-05-14T17:14:28.452Z</dcterms:created>
  <dcterms:modified xsi:type="dcterms:W3CDTF">2026-05-14T17:14:28.474Z</dcterms:modified>
</cp:coreProperties>
</file>