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DAC4CE0C">
      <w:pPr>
        <w:spacing w:line="276"/>
      </w:pPr>
      <w:r>
        <w:rPr>
          <w:shd w:val="clear" w:color="auto" w:fill="92D050"/>
        </w:rPr>
        <w:t>Green Highlight Demo</w:t>
      </w:r>
    </w:p>
    <w:p w14:paraId="CD537EBE">
      <w:r>
        <w:rPr>
          <w:shd w:val="clear" w:color="auto" w:fill="92D050"/>
        </w:rPr>
        <w:t>This document demonstrates green text highlighting.</w:t>
      </w:r>
    </w:p>
    <w:p w14:paraId="A5044844">
      <w:r>
        <w:rPr>
          <w:shd w:val="clear" w:color="auto" w:fill="92D050"/>
        </w:rPr>
        <w:t>Green highlights are often used for environmental topics.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2026-05-14T16:55:33.572Z</dcterms:created>
  <dcterms:modified xsi:type="dcterms:W3CDTF">2026-05-14T16:55:33.591Z</dcterms:modified>
</cp:coreProperties>
</file>