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rels" ContentType="application/vnd.openxmlformats-package.relationships+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ae4fcc05a5724b7d" /></Relationships>
</file>

<file path=word/document.xml><?xml version="1.0" encoding="utf-8"?>
<w:document xmlns:r="http://schemas.openxmlformats.org/officeDocument/2006/relationships" xmlns:w="http://schemas.openxmlformats.org/wordprocessingml/2006/main">
  <w:body>
    <w:p>
      <w:pPr>
        <w:pStyle w:val="Title"/>
      </w:pPr>
      <w:r>
        <w:t>Person—bleeding episode status, Thrombolysis in Myocardial Infarction (TIMI) code N</w:t>
      </w:r>
    </w:p>
    <w:p>
      <w:pPr>
        <w:pStyle w:val="Subtitle"/>
      </w:pPr>
      <w:r>
        <w:t>Exported from METEOR</w:t>
      </w:r>
    </w:p>
    <w:p>
      <w:pPr>
        <w:pStyle w:val="Subtitle"/>
        <w:spacing w:after="4800"/>
      </w:pPr>
      <w:r>
        <w:t>(AIHW's Metadata Online Registry)</w:t>
      </w:r>
    </w:p>
    <w:p>
      <w:r>
        <w:t>© Australian Institute of Health and Welfare 2024</w:t>
      </w:r>
    </w:p>
    <w:p>
      <w:r>
        <w:t/>
      </w:r>
    </w:p>
    <w:p>
      <w:r>
        <w:t>This product, excluding the AIHW logo, Commonwealth Coat of Arms and any material owned by a third party or protected by a trademark, has been released under a Creative Commons BY 4.0 (CC BY 4.0) licence. Excluded material owned by third parties may include, for example, design and layout, images obtained under licence from third parties and signatures. We have made all reasonable efforts to identify and label material owned by third parties.</w:t>
      </w:r>
    </w:p>
    <w:p>
      <w:r>
        <w:t>You may distribute, remix and build on this website’s material but must attribute the AIHW as the copyright holder, in line with our attribution policy. The full terms and conditions of this licence are available at https://creativecommons.org/licenses/by/4.0/.</w:t>
      </w:r>
    </w:p>
    <w:p>
      <w:r>
        <w:t>Enquiries relating to copyright should be addressed to info@aihw.gov.au.</w:t>
      </w:r>
    </w:p>
    <w:p>
      <w:r>
        <w:t>Enquiries or comments on the METEOR metadata or download should be directed to the METEOR team at meteor@aihw.gov.au.</w:t>
      </w:r>
    </w:p>
    <w:p>
      <w:r>
        <w:br w:type="page"/>
      </w:r>
    </w:p>
    <w:p>
      <w:pPr>
        <w:pStyle w:val="Heading1"/>
      </w:pPr>
      <w:r>
        <w:t xml:space="preserve">Person—bleeding episode status, Thrombolysis in Myocardial Infarction (TIMI) code N</w:t>
      </w:r>
    </w:p>
    <w:tbl>
      <w:tblPr>
        <w:tblStyle w:val="TableGrid"/>
        <w:tblW w:w="5000" w:type="pct"/>
        <w:tblLayout w:type="fixed"/>
      </w:tblPr>
      <w:tblGrid>
        <w:gridCol/>
        <w:gridCol/>
      </w:tblGrid>
      <w:tr>
        <w:trPr/>
        <w:tc>
          <w:tcPr>
            <w:gridSpan w:val="2"/>
            <w:tcBorders>
              <w:top w:val="none" w:color="000000" w:sz="0"/>
              <w:left w:val="none" w:color="000000" w:sz="0"/>
              <w:bottom w:val="none" w:color="000000" w:sz="0"/>
              <w:right w:val="none" w:color="000000" w:sz="0"/>
            </w:tcBorders>
            <w:vAlign w:val="top"/>
            <w:tcMar>
              <w:top w:w="200"/>
              <w:bottom w:w="100"/>
            </w:tcMar>
          </w:tcPr>
          <w:p>
            <w:pPr>
              <w:pStyle w:val="Heading3"/>
            </w:pPr>
            <w:r>
              <w:t xml:space="preserve">Identifying and definitional attributes</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Metadata item type:</w:t>
            </w:r>
          </w:p>
        </w:tc>
        <w:tc>
          <w:tcPr>
            <w:tcBorders>
              <w:top w:val="none" w:color="000000" w:sz="0"/>
              <w:left w:val="none" w:color="000000" w:sz="0"/>
              <w:bottom w:val="none" w:color="000000" w:sz="0"/>
              <w:right w:val="none" w:color="000000" w:sz="0"/>
            </w:tcBorders>
            <w:vAlign w:val="top"/>
          </w:tcPr>
          <w:p>
            <w:r>
              <w:t xml:space="preserve">Data Element</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Short name:</w:t>
            </w:r>
          </w:p>
        </w:tc>
        <w:tc>
          <w:tcPr>
            <w:tcBorders>
              <w:top w:val="none" w:color="000000" w:sz="0"/>
              <w:left w:val="none" w:color="000000" w:sz="0"/>
              <w:bottom w:val="none" w:color="000000" w:sz="0"/>
              <w:right w:val="none" w:color="000000" w:sz="0"/>
            </w:tcBorders>
            <w:vAlign w:val="top"/>
          </w:tcPr>
          <w:p>
            <w:r>
              <w:rPr>
                <w:rStyle w:val="alternate-name-de"/>
              </w:rPr>
              <w:t xml:space="preserve">Bleeding episode using TIMI criteria (status)</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METEOR identifier:</w:t>
            </w:r>
          </w:p>
        </w:tc>
        <w:tc>
          <w:tcPr>
            <w:tcBorders>
              <w:top w:val="none" w:color="000000" w:sz="0"/>
              <w:left w:val="none" w:color="000000" w:sz="0"/>
              <w:bottom w:val="none" w:color="000000" w:sz="0"/>
              <w:right w:val="none" w:color="000000" w:sz="0"/>
            </w:tcBorders>
            <w:vAlign w:val="top"/>
          </w:tcPr>
          <w:p>
            <w:r>
              <w:t xml:space="preserve">356725</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Registration status:</w:t>
            </w:r>
          </w:p>
        </w:tc>
        <w:tc>
          <w:tcPr>
            <w:tcBorders>
              <w:top w:val="none" w:color="000000" w:sz="0"/>
              <w:left w:val="none" w:color="000000" w:sz="0"/>
              <w:bottom w:val="none" w:color="000000" w:sz="0"/>
              <w:right w:val="none" w:color="000000" w:sz="0"/>
            </w:tcBorders>
            <w:vAlign w:val="top"/>
          </w:tcPr>
          <w:p>
            <w:pPr>
              <w:spacing w:before="0" w:after="0"/>
            </w:pPr>
            <w:hyperlink w:history="true" r:id="R9a7e950a59c14520">
              <w:r>
                <w:rPr>
                  <w:rStyle w:val="Hyperlink"/>
                  <w:color w:val="244061"/>
                </w:rPr>
                <w:t xml:space="preserve">Health</w:t>
              </w:r>
            </w:hyperlink>
            <w:r>
              <w:rPr>
                <w:rStyle w:val="row-content"/>
                <w:color w:val="244061"/>
              </w:rPr>
              <w:t xml:space="preserve">, Standard 01/10/2008</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Definition:</w:t>
            </w:r>
          </w:p>
        </w:tc>
        <w:tc>
          <w:tcPr>
            <w:tcBorders>
              <w:top w:val="none" w:color="000000" w:sz="0"/>
              <w:left w:val="none" w:color="000000" w:sz="0"/>
              <w:bottom w:val="none" w:color="000000" w:sz="0"/>
              <w:right w:val="none" w:color="000000" w:sz="0"/>
            </w:tcBorders>
            <w:vAlign w:val="top"/>
          </w:tcPr>
          <w:p>
            <w:pPr/>
            <w:r>
              <w:rPr>
                <w:rStyle w:val="row-content-rich-text"/>
              </w:rPr>
              <w:t xml:space="preserve">A person's episode of bleeding as described by the Thrombolysis In Myocardial Infarction (TIMI) criteria, as represented by a code.</w:t>
            </w:r>
          </w:p>
        </w:tc>
      </w:tr>
    </w:tbl>
    <w:p/>
    <w:tbl>
      <w:tblPr>
        <w:tblStyle w:val="TableGrid"/>
        <w:tblW w:w="5000" w:type="pct"/>
        <w:tblLayout w:type="fixed"/>
      </w:tblPr>
      <w:tblGrid>
        <w:gridCol/>
        <w:gridCol/>
      </w:tblGrid>
      <w:tr>
        <w:trPr/>
        <w:tc>
          <w:tcPr>
            <w:gridSpan w:val="2"/>
            <w:tcBorders>
              <w:top w:val="none" w:color="000000" w:sz="0"/>
              <w:left w:val="none" w:color="000000" w:sz="0"/>
              <w:bottom w:val="none" w:color="000000" w:sz="0"/>
              <w:right w:val="none" w:color="000000" w:sz="0"/>
            </w:tcBorders>
            <w:vAlign w:val="top"/>
          </w:tcPr>
          <w:p>
            <w:pPr>
              <w:pStyle w:val="underlinedHeading2"/>
              <w:pBdr>
                <w:bottom w:val="single"/>
              </w:pBdr>
            </w:pPr>
            <w:r>
              <w:t xml:space="preserve">Data element concept attributes</w:t>
            </w:r>
          </w:p>
        </w:tc>
      </w:tr>
      <w:tr>
        <w:trPr/>
        <w:tc>
          <w:tcPr>
            <w:gridSpan w:val="2"/>
            <w:tcBorders>
              <w:top w:val="none" w:color="000000" w:sz="0"/>
              <w:left w:val="none" w:color="000000" w:sz="0"/>
              <w:bottom w:val="none" w:color="000000" w:sz="0"/>
              <w:right w:val="none" w:color="000000" w:sz="0"/>
            </w:tcBorders>
            <w:vAlign w:val="top"/>
            <w:tcMar>
              <w:top w:w="200"/>
              <w:bottom w:w="100"/>
            </w:tcMar>
          </w:tcPr>
          <w:p>
            <w:pPr>
              <w:pStyle w:val="Heading3"/>
            </w:pPr>
            <w:r>
              <w:t xml:space="preserve">Identifying and definitional attributes</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Data element concept:</w:t>
            </w:r>
          </w:p>
        </w:tc>
        <w:tc>
          <w:tcPr>
            <w:tcBorders>
              <w:top w:val="none" w:color="000000" w:sz="0"/>
              <w:left w:val="none" w:color="000000" w:sz="0"/>
              <w:bottom w:val="none" w:color="000000" w:sz="0"/>
              <w:right w:val="none" w:color="000000" w:sz="0"/>
            </w:tcBorders>
            <w:vAlign w:val="top"/>
          </w:tcPr>
          <w:p>
            <w:hyperlink w:history="true" r:id="R5a3237440fbb4b24">
              <w:r>
                <w:rPr>
                  <w:rStyle w:val="Hyperlink"/>
                </w:rPr>
                <w:t xml:space="preserve">Person—bleeding episode status </w:t>
              </w:r>
            </w:hyperlink>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METEOR identifier:</w:t>
            </w:r>
          </w:p>
        </w:tc>
        <w:tc>
          <w:tcPr>
            <w:tcBorders>
              <w:top w:val="none" w:color="000000" w:sz="0"/>
              <w:left w:val="none" w:color="000000" w:sz="0"/>
              <w:bottom w:val="none" w:color="000000" w:sz="0"/>
              <w:right w:val="none" w:color="000000" w:sz="0"/>
            </w:tcBorders>
            <w:vAlign w:val="top"/>
          </w:tcPr>
          <w:p>
            <w:r>
              <w:t xml:space="preserve">359325</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Registration status:</w:t>
            </w:r>
          </w:p>
        </w:tc>
        <w:tc>
          <w:tcPr>
            <w:tcBorders>
              <w:top w:val="none" w:color="000000" w:sz="0"/>
              <w:left w:val="none" w:color="000000" w:sz="0"/>
              <w:bottom w:val="none" w:color="000000" w:sz="0"/>
              <w:right w:val="none" w:color="000000" w:sz="0"/>
            </w:tcBorders>
            <w:vAlign w:val="top"/>
          </w:tcPr>
          <w:p>
            <w:pPr>
              <w:spacing w:before="0" w:after="0"/>
            </w:pPr>
            <w:hyperlink w:history="true" r:id="Rf8dcfc5e00c848bc">
              <w:r>
                <w:rPr>
                  <w:rStyle w:val="Hyperlink"/>
                  <w:color w:val="244061"/>
                </w:rPr>
                <w:t xml:space="preserve">Health</w:t>
              </w:r>
            </w:hyperlink>
            <w:r>
              <w:rPr>
                <w:rStyle w:val="row-content"/>
                <w:color w:val="244061"/>
              </w:rPr>
              <w:t xml:space="preserve">, Standard 01/10/2008</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Definition:</w:t>
            </w:r>
          </w:p>
        </w:tc>
        <w:tc>
          <w:tcPr>
            <w:tcBorders>
              <w:top w:val="none" w:color="000000" w:sz="0"/>
              <w:left w:val="none" w:color="000000" w:sz="0"/>
              <w:bottom w:val="none" w:color="000000" w:sz="0"/>
              <w:right w:val="none" w:color="000000" w:sz="0"/>
            </w:tcBorders>
            <w:vAlign w:val="top"/>
          </w:tcPr>
          <w:p>
            <w:pPr/>
            <w:r>
              <w:rPr>
                <w:rStyle w:val="row-content-rich-text"/>
              </w:rPr>
              <w:t xml:space="preserve">A person's episode of bleeding.</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Object class:</w:t>
            </w:r>
          </w:p>
        </w:tc>
        <w:tc>
          <w:tcPr>
            <w:tcBorders>
              <w:top w:val="none" w:color="000000" w:sz="0"/>
              <w:left w:val="none" w:color="000000" w:sz="0"/>
              <w:bottom w:val="none" w:color="000000" w:sz="0"/>
              <w:right w:val="none" w:color="000000" w:sz="0"/>
            </w:tcBorders>
            <w:vAlign w:val="top"/>
          </w:tcPr>
          <w:p>
            <w:hyperlink w:history="true" r:id="Rdf9d2b0a34ce47d4">
              <w:r>
                <w:rPr>
                  <w:rStyle w:val="Hyperlink"/>
                </w:rPr>
                <w:t xml:space="preserve">Person</w:t>
              </w:r>
            </w:hyperlink>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Property:</w:t>
            </w:r>
          </w:p>
        </w:tc>
        <w:tc>
          <w:tcPr>
            <w:tcBorders>
              <w:top w:val="none" w:color="000000" w:sz="0"/>
              <w:left w:val="none" w:color="000000" w:sz="0"/>
              <w:bottom w:val="none" w:color="000000" w:sz="0"/>
              <w:right w:val="none" w:color="000000" w:sz="0"/>
            </w:tcBorders>
            <w:vAlign w:val="top"/>
          </w:tcPr>
          <w:p>
            <w:hyperlink w:history="true" r:id="R23ae57f4192e428e">
              <w:r>
                <w:rPr>
                  <w:rStyle w:val="Hyperlink"/>
                </w:rPr>
                <w:t xml:space="preserve">Bleeding episode status</w:t>
              </w:r>
            </w:hyperlink>
          </w:p>
        </w:tc>
      </w:tr>
    </w:tbl>
    <w:p/>
    <w:tbl>
      <w:tblPr>
        <w:tblStyle w:val="TableGrid"/>
        <w:tblW w:w="5000" w:type="pct"/>
        <w:tblLayout w:type="fixed"/>
      </w:tblPr>
      <w:tblGrid>
        <w:gridCol/>
        <w:gridCol/>
      </w:tblGrid>
      <w:tr>
        <w:trPr/>
        <w:tc>
          <w:tcPr>
            <w:gridSpan w:val="2"/>
            <w:tcBorders>
              <w:top w:val="none" w:color="000000" w:sz="0"/>
              <w:left w:val="none" w:color="000000" w:sz="0"/>
              <w:bottom w:val="none" w:color="000000" w:sz="0"/>
              <w:right w:val="none" w:color="000000" w:sz="0"/>
            </w:tcBorders>
            <w:vAlign w:val="top"/>
          </w:tcPr>
          <w:p>
            <w:pPr>
              <w:pStyle w:val="underlinedHeading2"/>
              <w:pBdr>
                <w:bottom w:val="single"/>
              </w:pBdr>
            </w:pPr>
            <w:r>
              <w:t xml:space="preserve">Value domain attributes</w:t>
            </w:r>
            <w:r>
              <w:t xml:space="preserve"> </w:t>
            </w:r>
          </w:p>
        </w:tc>
      </w:tr>
      <w:tr>
        <w:trPr/>
        <w:tc>
          <w:tcPr>
            <w:gridSpan w:val="2"/>
            <w:tcBorders>
              <w:top w:val="none" w:color="000000" w:sz="0"/>
              <w:left w:val="none" w:color="000000" w:sz="0"/>
              <w:bottom w:val="none" w:color="000000" w:sz="0"/>
              <w:right w:val="none" w:color="000000" w:sz="0"/>
            </w:tcBorders>
            <w:vAlign w:val="top"/>
            <w:tcMar>
              <w:top w:w="200"/>
              <w:bottom w:w="100"/>
            </w:tcMar>
          </w:tcPr>
          <w:p>
            <w:pPr>
              <w:pStyle w:val="Heading3"/>
            </w:pPr>
            <w:r>
              <w:t xml:space="preserve">Identifying and definitional attributes</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Value domain:</w:t>
            </w:r>
          </w:p>
        </w:tc>
        <w:tc>
          <w:tcPr>
            <w:tcBorders>
              <w:top w:val="none" w:color="000000" w:sz="0"/>
              <w:left w:val="none" w:color="000000" w:sz="0"/>
              <w:bottom w:val="none" w:color="000000" w:sz="0"/>
              <w:right w:val="none" w:color="000000" w:sz="0"/>
            </w:tcBorders>
            <w:vAlign w:val="top"/>
          </w:tcPr>
          <w:p>
            <w:hyperlink w:history="true" r:id="Ra10207b782fa4da3">
              <w:r>
                <w:rPr>
                  <w:rStyle w:val="Hyperlink"/>
                </w:rPr>
                <w:t xml:space="preserve">Thrombolysis in Myocardial Infarction (TIMI) code N</w:t>
              </w:r>
            </w:hyperlink>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METEOR identifier:</w:t>
            </w:r>
          </w:p>
        </w:tc>
        <w:tc>
          <w:tcPr>
            <w:tcBorders>
              <w:top w:val="none" w:color="000000" w:sz="0"/>
              <w:left w:val="none" w:color="000000" w:sz="0"/>
              <w:bottom w:val="none" w:color="000000" w:sz="0"/>
              <w:right w:val="none" w:color="000000" w:sz="0"/>
            </w:tcBorders>
            <w:vAlign w:val="top"/>
          </w:tcPr>
          <w:p>
            <w:r>
              <w:t xml:space="preserve">356727</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Registration status:</w:t>
            </w:r>
          </w:p>
        </w:tc>
        <w:tc>
          <w:tcPr>
            <w:tcBorders>
              <w:top w:val="none" w:color="000000" w:sz="0"/>
              <w:left w:val="none" w:color="000000" w:sz="0"/>
              <w:bottom w:val="none" w:color="000000" w:sz="0"/>
              <w:right w:val="none" w:color="000000" w:sz="0"/>
            </w:tcBorders>
            <w:vAlign w:val="top"/>
          </w:tcPr>
          <w:p>
            <w:pPr>
              <w:spacing w:before="0" w:after="0"/>
            </w:pPr>
            <w:hyperlink w:history="true" r:id="R8c96c254891f4e68">
              <w:r>
                <w:rPr>
                  <w:rStyle w:val="Hyperlink"/>
                  <w:color w:val="244061"/>
                </w:rPr>
                <w:t xml:space="preserve">Health</w:t>
              </w:r>
            </w:hyperlink>
            <w:r>
              <w:rPr>
                <w:rStyle w:val="row-content"/>
                <w:color w:val="244061"/>
              </w:rPr>
              <w:t xml:space="preserve">, Standard 01/10/2008</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Definition:</w:t>
            </w:r>
          </w:p>
        </w:tc>
        <w:tc>
          <w:tcPr>
            <w:tcBorders>
              <w:top w:val="none" w:color="000000" w:sz="0"/>
              <w:left w:val="none" w:color="000000" w:sz="0"/>
              <w:bottom w:val="none" w:color="000000" w:sz="0"/>
              <w:right w:val="none" w:color="000000" w:sz="0"/>
            </w:tcBorders>
            <w:vAlign w:val="top"/>
          </w:tcPr>
          <w:p>
            <w:pPr/>
            <w:r>
              <w:rPr>
                <w:rStyle w:val="row-content-rich-text"/>
              </w:rPr>
              <w:t xml:space="preserve">A code set representing an episode of bleeding as described by the Thrombolysis In Myocardial Infarction (TIMI) criteria.</w:t>
            </w:r>
          </w:p>
        </w:tc>
      </w:tr>
    </w:tbl>
    <w:p/>
    <w:tbl>
      <w:tblPr>
        <w:tblStyle w:val="TableGrid"/>
        <w:tblW w:w="0" w:type="auto"/>
      </w:tblPr>
      <w:tblGrid>
        <w:gridCol/>
        <w:gridCol/>
        <w:gridCol/>
      </w:tblGrid>
      <w:tr>
        <w:trPr/>
        <w:tc>
          <w:tcPr>
            <w:gridSpan w:val="3"/>
            <w:tcBorders>
              <w:top w:val="none" w:color="000000" w:sz="0"/>
              <w:left w:val="none" w:color="000000" w:sz="0"/>
              <w:bottom w:val="none" w:color="000000" w:sz="0"/>
              <w:right w:val="none" w:color="000000" w:sz="0"/>
            </w:tcBorders>
            <w:vAlign w:val="top"/>
            <w:tcMar>
              <w:top w:w="200"/>
              <w:bottom w:w="100"/>
            </w:tcMar>
          </w:tcPr>
          <w:p>
            <w:pPr>
              <w:pStyle w:val="Heading3"/>
            </w:pPr>
            <w:r>
              <w:t xml:space="preserve">Representational attributes</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Representation class:</w:t>
            </w:r>
          </w:p>
        </w:tc>
        <w:tc>
          <w:tcPr>
            <w:tcW w:w="3750" w:type="pct"/>
            <w:gridSpan w:val="2"/>
            <w:tcBorders>
              <w:top w:val="none" w:color="000000" w:sz="0"/>
              <w:left w:val="none" w:color="000000" w:sz="0"/>
              <w:bottom w:val="none" w:color="000000" w:sz="0"/>
              <w:right w:val="none" w:color="000000" w:sz="0"/>
            </w:tcBorders>
            <w:vAlign w:val="top"/>
            <w:tcMar>
              <w:top w:w="100"/>
              <w:bottom w:w="100"/>
            </w:tcMar>
          </w:tcPr>
          <w:p>
            <w:r>
              <w:rPr>
                <w:rStyle w:val="row-content"/>
              </w:rPr>
              <w:t xml:space="preserve">Code</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Data type:</w:t>
            </w:r>
          </w:p>
        </w:tc>
        <w:tc>
          <w:tcPr>
            <w:tcW w:w="3750" w:type="pct"/>
            <w:gridSpan w:val="2"/>
            <w:tcBorders>
              <w:top w:val="none" w:color="000000" w:sz="0"/>
              <w:left w:val="none" w:color="000000" w:sz="0"/>
              <w:bottom w:val="none" w:color="000000" w:sz="0"/>
              <w:right w:val="none" w:color="000000" w:sz="0"/>
            </w:tcBorders>
            <w:vAlign w:val="top"/>
            <w:tcMar>
              <w:top w:w="100"/>
              <w:bottom w:w="100"/>
            </w:tcMar>
          </w:tcPr>
          <w:p>
            <w:r>
              <w:rPr>
                <w:rStyle w:val="row-content"/>
              </w:rPr>
              <w:t xml:space="preserve">Number</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Format:</w:t>
            </w:r>
          </w:p>
        </w:tc>
        <w:tc>
          <w:tcPr>
            <w:tcW w:w="3750" w:type="pct"/>
            <w:gridSpan w:val="2"/>
            <w:tcBorders>
              <w:top w:val="none" w:color="000000" w:sz="0"/>
              <w:left w:val="none" w:color="000000" w:sz="0"/>
              <w:bottom w:val="none" w:color="000000" w:sz="0"/>
              <w:right w:val="none" w:color="000000" w:sz="0"/>
            </w:tcBorders>
            <w:vAlign w:val="top"/>
            <w:tcMar>
              <w:top w:w="100"/>
              <w:bottom w:w="100"/>
            </w:tcMar>
          </w:tcPr>
          <w:p>
            <w:r>
              <w:rPr>
                <w:rStyle w:val="row-content"/>
              </w:rPr>
              <w:t xml:space="preserve">N</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Maximum character length:</w:t>
            </w:r>
          </w:p>
        </w:tc>
        <w:tc>
          <w:tcPr>
            <w:tcW w:w="3750" w:type="pct"/>
            <w:gridSpan w:val="2"/>
            <w:tcBorders>
              <w:top w:val="none" w:color="000000" w:sz="0"/>
              <w:left w:val="none" w:color="000000" w:sz="0"/>
              <w:bottom w:val="none" w:color="000000" w:sz="0"/>
              <w:right w:val="none" w:color="000000" w:sz="0"/>
            </w:tcBorders>
            <w:vAlign w:val="top"/>
            <w:tcMar>
              <w:top w:w="100"/>
              <w:bottom w:w="100"/>
            </w:tcMar>
          </w:tcPr>
          <w:p>
            <w:r>
              <w:rPr>
                <w:rStyle w:val="row-content"/>
              </w:rPr>
              <w:t xml:space="preserve">1</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 </w:t>
            </w:r>
          </w:p>
        </w:tc>
        <w:tc>
          <w:tcPr>
            <w:tcW w:w="1000" w:type="pct"/>
            <w:tcBorders>
              <w:top w:val="none" w:color="000000" w:sz="0"/>
              <w:left w:val="none" w:color="000000" w:sz="0"/>
              <w:bottom w:val="none" w:color="000000" w:sz="0"/>
              <w:right w:val="none" w:color="000000" w:sz="0"/>
            </w:tcBorders>
            <w:vAlign w:val="top"/>
          </w:tcPr>
          <w:p>
            <w:r>
              <w:rPr>
                <w:b/>
              </w:rPr>
              <w:t xml:space="preserve">Value</w:t>
            </w:r>
          </w:p>
        </w:tc>
        <w:tc>
          <w:tcPr>
            <w:tcBorders>
              <w:top w:val="none" w:color="000000" w:sz="0"/>
              <w:left w:val="none" w:color="000000" w:sz="0"/>
              <w:bottom w:val="none" w:color="000000" w:sz="0"/>
              <w:right w:val="none" w:color="000000" w:sz="0"/>
            </w:tcBorders>
            <w:vAlign w:val="top"/>
          </w:tcPr>
          <w:p>
            <w:r>
              <w:rPr>
                <w:b/>
              </w:rPr>
              <w:t xml:space="preserve">Meaning</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Permissible values:</w:t>
            </w:r>
          </w:p>
        </w:tc>
        <w:tc>
          <w:tcPr>
            <w:tcW w:w="1000" w:type="pct"/>
            <w:tcBorders>
              <w:top w:val="none" w:color="000000" w:sz="0"/>
              <w:left w:val="none" w:color="000000" w:sz="0"/>
              <w:bottom w:val="none" w:color="000000" w:sz="0"/>
              <w:right w:val="none" w:color="000000" w:sz="0"/>
            </w:tcBorders>
            <w:vAlign w:val="top"/>
          </w:tcPr>
          <w:p>
            <w:r>
              <w:t xml:space="preserve">1</w:t>
            </w:r>
          </w:p>
        </w:tc>
        <w:tc>
          <w:tcPr>
            <w:tcBorders>
              <w:top w:val="none" w:color="000000" w:sz="0"/>
              <w:left w:val="none" w:color="000000" w:sz="0"/>
              <w:bottom w:val="none" w:color="000000" w:sz="0"/>
              <w:right w:val="none" w:color="000000" w:sz="0"/>
            </w:tcBorders>
            <w:vAlign w:val="top"/>
          </w:tcPr>
          <w:p>
            <w:r>
              <w:t xml:space="preserve">Major</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 </w:t>
            </w:r>
          </w:p>
        </w:tc>
        <w:tc>
          <w:tcPr>
            <w:tcW w:w="1000" w:type="pct"/>
            <w:tcBorders>
              <w:top w:val="none" w:color="000000" w:sz="0"/>
              <w:left w:val="none" w:color="000000" w:sz="0"/>
              <w:bottom w:val="none" w:color="000000" w:sz="0"/>
              <w:right w:val="none" w:color="000000" w:sz="0"/>
            </w:tcBorders>
            <w:vAlign w:val="top"/>
          </w:tcPr>
          <w:p>
            <w:r>
              <w:t xml:space="preserve">2</w:t>
            </w:r>
          </w:p>
        </w:tc>
        <w:tc>
          <w:tcPr>
            <w:tcBorders>
              <w:top w:val="none" w:color="000000" w:sz="0"/>
              <w:left w:val="none" w:color="000000" w:sz="0"/>
              <w:bottom w:val="none" w:color="000000" w:sz="0"/>
              <w:right w:val="none" w:color="000000" w:sz="0"/>
            </w:tcBorders>
            <w:vAlign w:val="top"/>
          </w:tcPr>
          <w:p>
            <w:r>
              <w:t xml:space="preserve">Minor</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 </w:t>
            </w:r>
          </w:p>
        </w:tc>
        <w:tc>
          <w:tcPr>
            <w:tcW w:w="1000" w:type="pct"/>
            <w:tcBorders>
              <w:top w:val="none" w:color="000000" w:sz="0"/>
              <w:left w:val="none" w:color="000000" w:sz="0"/>
              <w:bottom w:val="none" w:color="000000" w:sz="0"/>
              <w:right w:val="none" w:color="000000" w:sz="0"/>
            </w:tcBorders>
            <w:vAlign w:val="top"/>
          </w:tcPr>
          <w:p>
            <w:r>
              <w:t xml:space="preserve">3</w:t>
            </w:r>
          </w:p>
        </w:tc>
        <w:tc>
          <w:tcPr>
            <w:tcBorders>
              <w:top w:val="none" w:color="000000" w:sz="0"/>
              <w:left w:val="none" w:color="000000" w:sz="0"/>
              <w:bottom w:val="none" w:color="000000" w:sz="0"/>
              <w:right w:val="none" w:color="000000" w:sz="0"/>
            </w:tcBorders>
            <w:vAlign w:val="top"/>
          </w:tcPr>
          <w:p>
            <w:r>
              <w:t xml:space="preserve">Non TIMI bleeding</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Supplementary values:</w:t>
            </w:r>
          </w:p>
        </w:tc>
        <w:tc>
          <w:tcPr>
            <w:tcW w:w="1000" w:type="pct"/>
            <w:tcBorders>
              <w:top w:val="none" w:color="000000" w:sz="0"/>
              <w:left w:val="none" w:color="000000" w:sz="0"/>
              <w:bottom w:val="none" w:color="000000" w:sz="0"/>
              <w:right w:val="none" w:color="000000" w:sz="0"/>
            </w:tcBorders>
            <w:vAlign w:val="top"/>
          </w:tcPr>
          <w:p>
            <w:r>
              <w:t xml:space="preserve">9</w:t>
            </w:r>
            <w:r>
              <w:br/>
            </w:r>
            <w:r>
              <w:t xml:space="preserve"> </w:t>
            </w:r>
          </w:p>
        </w:tc>
        <w:tc>
          <w:tcPr>
            <w:tcBorders>
              <w:top w:val="none" w:color="000000" w:sz="0"/>
              <w:left w:val="none" w:color="000000" w:sz="0"/>
              <w:bottom w:val="none" w:color="000000" w:sz="0"/>
              <w:right w:val="none" w:color="000000" w:sz="0"/>
            </w:tcBorders>
            <w:vAlign w:val="top"/>
          </w:tcPr>
          <w:p>
            <w:r>
              <w:t xml:space="preserve">Not stated/inadequately described</w:t>
            </w:r>
            <w:r>
              <w:br/>
            </w:r>
            <w:r>
              <w:t xml:space="preserve"> </w:t>
            </w:r>
          </w:p>
        </w:tc>
      </w:tr>
    </w:tbl>
    <w:p/>
    <w:tbl>
      <w:tblPr>
        <w:tblStyle w:val="TableGrid"/>
        <w:tblW w:w="5000" w:type="pct"/>
        <w:tblLayout w:type="fixed"/>
      </w:tblPr>
      <w:tblGrid>
        <w:gridCol/>
        <w:gridCol/>
      </w:tblGrid>
      <w:tr>
        <w:trPr/>
        <w:tc>
          <w:tcPr>
            <w:gridSpan w:val="2"/>
            <w:tcBorders>
              <w:top w:val="none" w:color="000000" w:sz="0"/>
              <w:left w:val="none" w:color="000000" w:sz="0"/>
              <w:bottom w:val="none" w:color="000000" w:sz="0"/>
              <w:right w:val="none" w:color="000000" w:sz="0"/>
            </w:tcBorders>
            <w:vAlign w:val="top"/>
            <w:tcMar>
              <w:top w:w="200"/>
              <w:bottom w:w="100"/>
            </w:tcMar>
          </w:tcPr>
          <w:p>
            <w:pPr>
              <w:pStyle w:val="Heading3"/>
            </w:pPr>
            <w:r>
              <w:t xml:space="preserve">Collection and usage attributes</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Guide for use:</w:t>
            </w:r>
          </w:p>
        </w:tc>
        <w:tc>
          <w:tcPr>
            <w:tcBorders>
              <w:top w:val="none" w:color="000000" w:sz="0"/>
              <w:left w:val="none" w:color="000000" w:sz="0"/>
              <w:bottom w:val="none" w:color="000000" w:sz="0"/>
              <w:right w:val="none" w:color="000000" w:sz="0"/>
            </w:tcBorders>
            <w:vAlign w:val="top"/>
          </w:tcPr>
          <w:p>
            <w:pPr>
              <w:spacing w:after="160"/>
            </w:pPr>
            <w:r>
              <w:rPr>
                <w:rStyle w:val="row-content-rich-text"/>
              </w:rPr>
              <w:t xml:space="preserve">Note in calculating the fall in haemoglobin or haematocrit, transfusion of whole blood or packed red blood cells is counted as 1g/dl (0.1g/l) haemoglobin or 3% absolute haematocrit.</w:t>
            </w:r>
          </w:p>
          <w:p>
            <w:pPr>
              <w:spacing w:after="160"/>
            </w:pPr>
            <w:r>
              <w:rPr>
                <w:rStyle w:val="row-content-rich-text"/>
              </w:rPr>
              <w:t xml:space="preserve">CODE 1     Major</w:t>
            </w:r>
          </w:p>
          <w:p>
            <w:pPr>
              <w:spacing w:after="160"/>
            </w:pPr>
            <w:r>
              <w:rPr>
                <w:rStyle w:val="row-content-rich-text"/>
              </w:rPr>
              <w:t xml:space="preserve">Overt clinical bleeding (or documented intracranial or retroperitoneal haemorrhage) associated with a drop in haemoglobin of greater than 5g/dl (0.5g/l) or a haematocrit of greater than 15% (absolute).</w:t>
            </w:r>
          </w:p>
          <w:p>
            <w:pPr>
              <w:spacing w:after="160"/>
            </w:pPr>
            <w:r>
              <w:rPr>
                <w:rStyle w:val="row-content-rich-text"/>
              </w:rPr>
              <w:t xml:space="preserve">CODE 2     Minor</w:t>
            </w:r>
          </w:p>
          <w:p>
            <w:pPr>
              <w:spacing w:after="160"/>
            </w:pPr>
            <w:r>
              <w:rPr>
                <w:rStyle w:val="row-content-rich-text"/>
              </w:rPr>
              <w:t xml:space="preserve">Overt clinical bleeding associated with a fall in haemoglobin of 3 or less than or equal to 5g/dl (0.5g/l) or a haematocrit of 9% to less than or equal to 15% (absolute).</w:t>
            </w:r>
          </w:p>
          <w:p>
            <w:pPr>
              <w:spacing w:after="160"/>
            </w:pPr>
            <w:r>
              <w:rPr>
                <w:rStyle w:val="row-content-rich-text"/>
              </w:rPr>
              <w:t xml:space="preserve">CODE 3     Non TIMI Bleeding</w:t>
            </w:r>
          </w:p>
          <w:p>
            <w:pPr/>
            <w:r>
              <w:rPr>
                <w:rStyle w:val="row-content-rich-text"/>
              </w:rPr>
              <w:t xml:space="preserve">Bleeding event that does not meet the major or minor definition.</w:t>
            </w:r>
          </w:p>
        </w:tc>
      </w:tr>
    </w:tbl>
    <w:p/>
    <w:tbl>
      <w:tblPr>
        <w:tblStyle w:val="TableGrid"/>
        <w:tblW w:w="0" w:type="auto"/>
      </w:tblPr>
    </w:tbl>
    <w:p/>
    <w:tbl>
      <w:tblPr>
        <w:tblStyle w:val="TableGrid"/>
        <w:tblW w:w="5000" w:type="pct"/>
        <w:tblLayout w:type="fixed"/>
      </w:tblPr>
      <w:tblGrid>
        <w:gridCol/>
        <w:gridCol/>
      </w:tblGrid>
      <w:tr>
        <w:trPr/>
        <w:tc>
          <w:tcPr>
            <w:gridSpan w:val="2"/>
            <w:tcBorders>
              <w:top w:val="none" w:color="000000" w:sz="0"/>
              <w:left w:val="none" w:color="000000" w:sz="0"/>
              <w:bottom w:val="none" w:color="000000" w:sz="0"/>
              <w:right w:val="none" w:color="000000" w:sz="0"/>
            </w:tcBorders>
            <w:vAlign w:val="top"/>
          </w:tcPr>
          <w:p>
            <w:pPr>
              <w:pStyle w:val="underlinedHeading2"/>
              <w:pBdr>
                <w:bottom w:val="single"/>
              </w:pBdr>
            </w:pPr>
            <w:r>
              <w:t xml:space="preserve">Data element attributes</w:t>
            </w:r>
            <w:r>
              <w:t xml:space="preserve"> </w:t>
            </w:r>
          </w:p>
        </w:tc>
      </w:tr>
      <w:tr>
        <w:trPr/>
        <w:tc>
          <w:tcPr>
            <w:gridSpan w:val="2"/>
            <w:tcBorders>
              <w:top w:val="none" w:color="000000" w:sz="0"/>
              <w:left w:val="none" w:color="000000" w:sz="0"/>
              <w:bottom w:val="none" w:color="000000" w:sz="0"/>
              <w:right w:val="none" w:color="000000" w:sz="0"/>
            </w:tcBorders>
            <w:vAlign w:val="top"/>
            <w:tcMar>
              <w:top w:w="200"/>
              <w:bottom w:w="100"/>
            </w:tcMar>
          </w:tcPr>
          <w:p>
            <w:pPr>
              <w:pStyle w:val="Heading3"/>
            </w:pPr>
            <w:r>
              <w:t xml:space="preserve">Source and reference attributes</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Submitting organisation:</w:t>
            </w:r>
          </w:p>
        </w:tc>
        <w:tc>
          <w:tcPr>
            <w:tcW w:w="3750" w:type="pct"/>
            <w:tcBorders>
              <w:top w:val="none" w:color="000000" w:sz="0"/>
              <w:left w:val="none" w:color="000000" w:sz="0"/>
              <w:bottom w:val="none" w:color="000000" w:sz="0"/>
              <w:right w:val="none" w:color="000000" w:sz="0"/>
            </w:tcBorders>
            <w:vAlign w:val="top"/>
            <w:tcMar>
              <w:top w:w="100"/>
              <w:bottom w:w="100"/>
            </w:tcMar>
          </w:tcPr>
          <w:p>
            <w:r>
              <w:rPr>
                <w:rStyle w:val="row-content"/>
              </w:rPr>
              <w:t xml:space="preserve">Acute coronary syndrome data working group</w:t>
            </w:r>
            <w:r>
              <w:br/>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Origin:</w:t>
            </w:r>
          </w:p>
        </w:tc>
        <w:tc>
          <w:tcPr>
            <w:tcBorders>
              <w:top w:val="none" w:color="000000" w:sz="0"/>
              <w:left w:val="none" w:color="000000" w:sz="0"/>
              <w:bottom w:val="none" w:color="000000" w:sz="0"/>
              <w:right w:val="none" w:color="000000" w:sz="0"/>
            </w:tcBorders>
            <w:vAlign w:val="top"/>
          </w:tcPr>
          <w:p>
            <w:pPr/>
            <w:r>
              <w:rPr>
                <w:rStyle w:val="row-content-rich-text"/>
              </w:rPr>
              <w:t xml:space="preserve">Rao AK, Pratt C, Berke A, et al. Thrombolysis in Myocardial Infarction (TIMI) Trial, phase I: hemorrhagic manifestations and changes in plasma fibrinogen and the fibrinolytic system in patients with recombinant tissue plasminogen activator and streptokinase. J Am Coll Cardiol 1988; 11:1-11.</w:t>
            </w:r>
          </w:p>
        </w:tc>
      </w:tr>
      <w:tr>
        <w:trPr/>
        <w:tc>
          <w:tcPr>
            <w:gridSpan w:val="2"/>
            <w:tcBorders>
              <w:top w:val="none" w:color="000000" w:sz="0"/>
              <w:left w:val="none" w:color="000000" w:sz="0"/>
              <w:bottom w:val="none" w:color="000000" w:sz="0"/>
              <w:right w:val="none" w:color="000000" w:sz="0"/>
            </w:tcBorders>
            <w:vAlign w:val="top"/>
            <w:tcMar>
              <w:top w:w="200"/>
              <w:bottom w:w="100"/>
            </w:tcMar>
          </w:tcPr>
          <w:p>
            <w:pPr>
              <w:pStyle w:val="Heading3"/>
            </w:pPr>
            <w:r>
              <w:t xml:space="preserve">Relational attributes</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Related metadata references:</w:t>
            </w:r>
          </w:p>
        </w:tc>
        <w:tc>
          <w:tcPr>
            <w:tcW w:w="3750" w:type="pct"/>
            <w:tcBorders>
              <w:top w:val="none" w:color="000000" w:sz="0"/>
              <w:left w:val="none" w:color="000000" w:sz="0"/>
              <w:bottom w:val="none" w:color="000000" w:sz="0"/>
              <w:right w:val="none" w:color="000000" w:sz="0"/>
            </w:tcBorders>
            <w:vAlign w:val="top"/>
            <w:tcMar>
              <w:top w:w="100"/>
              <w:bottom w:w="100"/>
            </w:tcMar>
          </w:tcPr>
          <w:p>
            <w:r>
              <w:rPr>
                <w:rStyle w:val="row-content"/>
              </w:rPr>
              <w:t xml:space="preserve">Supersedes </w:t>
            </w:r>
            <w:hyperlink w:history="true" r:id="R91d61ec087784ee2">
              <w:r>
                <w:rPr>
                  <w:rStyle w:val="Hyperlink"/>
                </w:rPr>
                <w:t xml:space="preserve">Person—bleeding episode status, code N</w:t>
              </w:r>
            </w:hyperlink>
          </w:p>
          <w:p>
            <w:pPr>
              <w:spacing w:before="0" w:after="0"/>
            </w:pPr>
            <w:r>
              <w:rPr>
                <w:rStyle w:val="row-content"/>
                <w:color w:val="244061"/>
              </w:rPr>
              <w:t xml:space="preserve">       </w:t>
            </w:r>
            <w:hyperlink w:history="true" r:id="R25b95d23fd3d48cb">
              <w:r>
                <w:rPr>
                  <w:rStyle w:val="Hyperlink"/>
                  <w:color w:val="244061"/>
                </w:rPr>
                <w:t xml:space="preserve">Health</w:t>
              </w:r>
            </w:hyperlink>
            <w:r>
              <w:rPr>
                <w:rStyle w:val="row-content"/>
                <w:color w:val="244061"/>
              </w:rPr>
              <w:t xml:space="preserve">, Superseded 01/10/2008</w:t>
            </w:r>
          </w:p>
          <w:p>
            <w:r>
              <w:br/>
            </w:r>
            <w:r>
              <w:rPr>
                <w:rStyle w:val="row-content"/>
              </w:rPr>
              <w:t xml:space="preserve">See also </w:t>
            </w:r>
            <w:hyperlink w:history="true" r:id="Rd6bd2b2f441f4b4c">
              <w:r>
                <w:rPr>
                  <w:rStyle w:val="Hyperlink"/>
                </w:rPr>
                <w:t xml:space="preserve">Person with acute coronary syndrome—bleeding location, instrumented code N(N)</w:t>
              </w:r>
            </w:hyperlink>
          </w:p>
          <w:p>
            <w:pPr>
              <w:spacing w:before="0" w:after="0"/>
            </w:pPr>
            <w:r>
              <w:rPr>
                <w:rStyle w:val="row-content"/>
                <w:color w:val="244061"/>
              </w:rPr>
              <w:t xml:space="preserve">       </w:t>
            </w:r>
            <w:hyperlink w:history="true" r:id="R177beaea87ed4b7d">
              <w:r>
                <w:rPr>
                  <w:rStyle w:val="Hyperlink"/>
                  <w:color w:val="244061"/>
                </w:rPr>
                <w:t xml:space="preserve">Health</w:t>
              </w:r>
            </w:hyperlink>
            <w:r>
              <w:rPr>
                <w:rStyle w:val="row-content"/>
                <w:color w:val="244061"/>
              </w:rPr>
              <w:t xml:space="preserve">, Standard 01/10/2008</w:t>
            </w:r>
          </w:p>
          <w:p>
            <w:r>
              <w:br/>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Implementation in Data Set Specifications:</w:t>
            </w:r>
          </w:p>
        </w:tc>
        <w:tc>
          <w:tcPr>
            <w:tcBorders>
              <w:top w:val="none" w:color="000000" w:sz="0"/>
              <w:left w:val="none" w:color="000000" w:sz="0"/>
              <w:bottom w:val="none" w:color="000000" w:sz="0"/>
              <w:right w:val="none" w:color="000000" w:sz="0"/>
            </w:tcBorders>
            <w:vAlign w:val="top"/>
          </w:tcPr>
          <w:p>
            <w:hyperlink w:history="true" r:id="Rfb19b5b20f874b78">
              <w:r>
                <w:rPr>
                  <w:rStyle w:val="Hyperlink"/>
                </w:rPr>
                <w:t xml:space="preserve">Acute coronary syndrome (clinical) DSS</w:t>
              </w:r>
            </w:hyperlink>
          </w:p>
          <w:p>
            <w:pPr>
              <w:spacing w:before="0" w:after="0"/>
            </w:pPr>
            <w:r>
              <w:rPr>
                <w:rStyle w:val="row-content"/>
                <w:color w:val="244061"/>
              </w:rPr>
              <w:t xml:space="preserve">       </w:t>
            </w:r>
            <w:hyperlink w:history="true" r:id="Rfc495e376dc34955">
              <w:r>
                <w:rPr>
                  <w:rStyle w:val="Hyperlink"/>
                  <w:color w:val="244061"/>
                </w:rPr>
                <w:t xml:space="preserve">Health</w:t>
              </w:r>
            </w:hyperlink>
            <w:r>
              <w:rPr>
                <w:rStyle w:val="row-content"/>
                <w:color w:val="244061"/>
              </w:rPr>
              <w:t xml:space="preserve">, Superseded 01/09/2012</w:t>
            </w:r>
          </w:p>
          <w:p>
            <w:r>
              <w:br/>
            </w:r>
            <w:hyperlink w:history="true" r:id="R6a2724ac0f6e49ed">
              <w:r>
                <w:rPr>
                  <w:rStyle w:val="Hyperlink"/>
                </w:rPr>
                <w:t xml:space="preserve">Acute coronary syndrome (clinical) DSS</w:t>
              </w:r>
            </w:hyperlink>
          </w:p>
          <w:p>
            <w:pPr>
              <w:spacing w:before="0" w:after="0"/>
            </w:pPr>
            <w:r>
              <w:rPr>
                <w:rStyle w:val="row-content"/>
                <w:color w:val="244061"/>
              </w:rPr>
              <w:t xml:space="preserve">       </w:t>
            </w:r>
            <w:hyperlink w:history="true" r:id="R7f43e5258cc94502">
              <w:r>
                <w:rPr>
                  <w:rStyle w:val="Hyperlink"/>
                  <w:color w:val="244061"/>
                </w:rPr>
                <w:t xml:space="preserve">Health</w:t>
              </w:r>
            </w:hyperlink>
            <w:r>
              <w:rPr>
                <w:rStyle w:val="row-content"/>
                <w:color w:val="244061"/>
              </w:rPr>
              <w:t xml:space="preserve">, Superseded 02/05/2013</w:t>
            </w:r>
          </w:p>
          <w:p>
            <w:r>
              <w:br/>
            </w:r>
            <w:hyperlink w:history="true" r:id="R7ff8cc203e314c7e">
              <w:r>
                <w:rPr>
                  <w:rStyle w:val="Hyperlink"/>
                </w:rPr>
                <w:t xml:space="preserve">Acute coronary syndrome (clinical) NBPDS 2013-</w:t>
              </w:r>
            </w:hyperlink>
          </w:p>
          <w:p>
            <w:pPr>
              <w:spacing w:before="0" w:after="0"/>
            </w:pPr>
            <w:r>
              <w:rPr>
                <w:rStyle w:val="row-content"/>
                <w:color w:val="244061"/>
              </w:rPr>
              <w:t xml:space="preserve">       </w:t>
            </w:r>
            <w:hyperlink w:history="true" r:id="R5c9479d43e1348c3">
              <w:r>
                <w:rPr>
                  <w:rStyle w:val="Hyperlink"/>
                  <w:color w:val="244061"/>
                </w:rPr>
                <w:t xml:space="preserve">Health</w:t>
              </w:r>
            </w:hyperlink>
            <w:r>
              <w:rPr>
                <w:rStyle w:val="row-content"/>
                <w:color w:val="244061"/>
              </w:rPr>
              <w:t xml:space="preserve">, Standard 02/05/2013</w:t>
            </w:r>
          </w:p>
          <w:p>
            <w:r>
              <w:rPr>
                <w:rStyle w:val="row-content"/>
                <w:b/>
                <w:i/>
              </w:rPr>
              <w:t xml:space="preserve">Implementation start date: </w:t>
            </w:r>
            <w:r>
              <w:rPr>
                <w:rStyle w:val="row-content"/>
              </w:rPr>
              <w:t xml:space="preserve">01/07/2013</w:t>
            </w:r>
            <w:r>
              <w:br/>
            </w:r>
            <w:r>
              <w:br/>
            </w:r>
          </w:p>
        </w:tc>
      </w:tr>
    </w:tbl>
    <w:p/>
    <w:tbl>
      <w:tblPr>
        <w:tblStyle w:val="TableGrid"/>
        <w:tblW w:w="0" w:type="auto"/>
      </w:tblPr>
    </w:tbl>
    <w:p>
      <w:r>
        <w:br/>
      </w:r>
    </w:p>
    <w:sectPr>
      <w:footerReference xmlns:r="http://schemas.openxmlformats.org/officeDocument/2006/relationships" w:type="default" r:id="Rc7d38ce17a5a4a0c"/>
      <w:pgMar w:top="1060" w:right="1000" w:bottom="1060" w:left="1000" w:footer="300"/>
      <w:titlePg/>
    </w:sectPr>
  </w:body>
</w:document>
</file>

<file path=word/footer1.xml><?xml version="1.0" encoding="utf-8"?>
<w:ftr xmlns:w="http://schemas.openxmlformats.org/wordprocessingml/2006/main">
  <w:p>
    <w:pPr>
      <w:pStyle w:val="Footer"/>
      <w:pBdr>
        <w:top w:val="single"/>
      </w:pBdr>
    </w:pPr>
    <w:r>
      <w:ptab w:alignment="left" w:relativeTo="margin" w:leader="none"/>
    </w:r>
    <w:r>
      <w:t>Metadata 356725</w:t>
    </w:r>
    <w:r>
      <w:ptab w:alignment="right" w:relativeTo="margin" w:leader="none"/>
    </w:r>
    <w:r>
      <w:t xml:space="preserve">Page </w:t>
    </w:r>
    <w:fldSimple w:instr="PAGE"/>
    <w:r>
      <w:t xml:space="preserve"> of </w:t>
    </w:r>
    <w:fldSimple w:instr="NUMPAGES"/>
    <w:r>
      <w:ptab w:alignment="left" w:relativeTo="margin" w:leader="none"/>
    </w:r>
    <w:r>
      <w:t>Downloaded 23-Apr-2024</w:t>
    </w:r>
  </w:p>
</w:ftr>
</file>

<file path=word/header1.xml><?xml version="1.0" encoding="utf-8"?>
<w:hdr xmlns:w="http://schemas.openxmlformats.org/wordprocessingml/2006/main">
  <w:p>
    <w:r>
      <w:drawing>
        <wp:inline xmlns:wp14="http://schemas.microsoft.com/office/word/2010/wordprocessingDrawing" xmlns:wp="http://schemas.openxmlformats.org/drawingml/2006/wordprocessingDrawing" distT="0" distB="0" distL="0" distR="0" wp14:editId="50D07946">
          <wp:extent cx="5943600" cy="10972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xmlns:r="http://schemas.openxmlformats.org/officeDocument/2006/relationships" r:embed="R68bd9f212ac24b0b" cstate="print">
                    <a:extLst>
                      <a:ext uri="{28A0092B-C50C-407E-A947-70E740481C1C}"/>
                    </a:extLst>
                  </a:blip>
                  <a:stretch>
                    <a:fillRect/>
                  </a:stretch>
                </pic:blipFill>
                <pic:spPr>
                  <a:xfrm>
                    <a:off x="0" y="0"/>
                    <a:ext cx="5943600" cy="1097280"/>
                  </a:xfrm>
                  <a:prstGeom prst="rect">
                    <a:avLst/>
                  </a:prstGeom>
                </pic:spPr>
              </pic:pic>
            </a:graphicData>
          </a:graphic>
        </wp:inline>
      </w:drawing>
    </w:r>
  </w:p>
</w:hdr>
</file>

<file path=word/settings.xml><?xml version="1.0" encoding="utf-8"?>
<w:settings xmlns:w="http://schemas.openxmlformats.org/wordprocessingml/2006/main">
  <w:compatSetting w:name="compatibilityMode" w:uri="http://schemas.microsoft.com/office/word" w:val="16"/>
</w:settings>
</file>

<file path=word/styles.xml><?xml version="1.0" encoding="utf-8"?>
<w:styles xmlns:w="http://schemas.openxmlformats.org/wordprocessingml/2006/main">
  <w:style w:type="paragraph" w:styleId="Normal" w:customStyle="false">
    <w:uiPriority w:val="11"/>
    <w:qFormat/>
    <w:name w:val="Normal"/>
    <w:rPr>
      <w:color w:themeColor="text1"/>
      <w:rFonts w:ascii="Segoe UI"/>
      <w:sz w:val="22"/>
    </w:rPr>
  </w:style>
  <w:style w:type="character" w:styleId="row-heading" w:customStyle="false">
    <w:uiPriority w:val="11"/>
    <w:qFormat/>
    <w:name w:val="row-heading"/>
    <w:rPr>
      <w:color w:themeColor="dark2"/>
      <w:rFonts w:ascii="Segoe UI"/>
      <w:sz w:val="22"/>
    </w:rPr>
  </w:style>
  <w:style w:type="character" w:styleId="row-content" w:customStyle="false">
    <w:name w:val="row-content"/>
    <w:basedOn w:val="Normal"/>
    <w:uiPriority w:val="12"/>
    <w:qFormat/>
  </w:style>
  <w:style w:type="character" w:styleId="row-content-rich-text" w:customStyle="false">
    <w:name w:val="row-content-rich-text"/>
    <w:basedOn w:val="Normal"/>
    <w:uiPriority w:val="12"/>
    <w:qFormat/>
  </w:style>
  <w:style w:type="character" w:styleId="alternate-name-de" w:customStyle="false">
    <w:name w:val="alternate-name-de"/>
    <w:basedOn w:val="Normal"/>
    <w:uiPriority w:val="12"/>
    <w:qFormat/>
  </w:style>
  <w:style w:type="character" w:styleId="alternate-name-indicator" w:customStyle="false">
    <w:name w:val="alternate-name-indicator"/>
    <w:basedOn w:val="Normal"/>
    <w:uiPriority w:val="12"/>
    <w:qFormat/>
  </w:style>
  <w:style w:type="paragraph" w:styleId="Heading1" w:customStyle="false">
    <w:uiPriority w:val="11"/>
    <w:qFormat/>
    <w:name w:val="heading 1"/>
    <w:rPr>
      <w:color w:themeColor="accent1" w:themeShade="6F"/>
      <w:rFonts w:ascii="Segoe UI"/>
      <w:sz w:val="36"/>
      <w:b/>
    </w:rPr>
  </w:style>
  <w:style w:type="paragraph" w:styleId="underlinedHeading1" w:customStyle="false">
    <w:uiPriority w:val="11"/>
    <w:qFormat/>
    <w:name w:val="heading 1"/>
    <w:rPr>
      <w:color w:themeColor="accent1" w:themeShade="6F"/>
      <w:rFonts w:ascii="Segoe UI"/>
      <w:sz w:val="36"/>
      <w:b/>
    </w:rPr>
  </w:style>
  <w:style w:type="paragraph" w:styleId="Heading2" w:customStyle="false">
    <w:uiPriority w:val="11"/>
    <w:qFormat/>
    <w:name w:val="heading 2"/>
    <w:rPr>
      <w:color w:themeColor="accent1" w:themeShade="7F"/>
      <w:rFonts w:ascii="Segoe UI"/>
      <w:sz w:val="32"/>
      <w:b/>
    </w:rPr>
  </w:style>
  <w:style w:type="paragraph" w:styleId="underlinedHeading2" w:customStyle="false">
    <w:uiPriority w:val="11"/>
    <w:qFormat/>
    <w:name w:val="heading 2"/>
    <w:rPr>
      <w:color w:themeColor="accent1" w:themeShade="7F"/>
      <w:rFonts w:ascii="Segoe UI"/>
      <w:sz w:val="32"/>
      <w:b/>
    </w:rPr>
  </w:style>
  <w:style w:type="paragraph" w:styleId="Heading3" w:customStyle="false">
    <w:uiPriority w:val="11"/>
    <w:qFormat/>
    <w:name w:val="heading 3"/>
    <w:rPr>
      <w:color w:themeColor="accent1" w:themeShade="BF"/>
      <w:rFonts w:ascii="Segoe UI"/>
      <w:sz w:val="28"/>
      <w:b/>
    </w:rPr>
  </w:style>
  <w:style w:type="paragraph" w:styleId="underlinedHeading3" w:customStyle="false">
    <w:uiPriority w:val="11"/>
    <w:qFormat/>
    <w:name w:val="heading 3"/>
    <w:rPr>
      <w:color w:themeColor="accent1" w:themeShade="BF"/>
      <w:rFonts w:ascii="Segoe UI"/>
      <w:sz w:val="28"/>
      <w:b/>
    </w:rPr>
  </w:style>
  <w:style w:type="paragraph" w:styleId="Heading4" w:customStyle="false">
    <w:uiPriority w:val="11"/>
    <w:qFormat/>
    <w:name w:val="heading 4"/>
    <w:rPr>
      <w:color w:themeColor="accent1" w:themeShade="EF"/>
      <w:rFonts w:ascii="Segoe UI"/>
      <w:sz w:val="26"/>
      <w:b/>
    </w:rPr>
  </w:style>
  <w:style w:type="paragraph" w:styleId="underlinedHeading4" w:customStyle="false">
    <w:uiPriority w:val="11"/>
    <w:qFormat/>
    <w:name w:val="heading 4"/>
    <w:rPr>
      <w:color w:themeColor="accent1" w:themeShade="EF"/>
      <w:rFonts w:ascii="Segoe UI"/>
      <w:sz w:val="26"/>
      <w:b/>
    </w:rPr>
  </w:style>
  <w:style w:type="paragraph" w:styleId="Heading5" w:customStyle="false">
    <w:uiPriority w:val="11"/>
    <w:qFormat/>
    <w:name w:val="heading 5"/>
    <w:rPr>
      <w:color w:themeColor="accent1" w:themeShade="FF"/>
      <w:rFonts w:ascii="Segoe UI"/>
      <w:sz w:val="24"/>
      <w:b/>
    </w:rPr>
  </w:style>
  <w:style w:type="paragraph" w:styleId="underlinedHeading5" w:customStyle="false">
    <w:uiPriority w:val="11"/>
    <w:qFormat/>
    <w:name w:val="heading 5"/>
    <w:rPr>
      <w:color w:themeColor="accent1" w:themeShade="FF"/>
      <w:rFonts w:ascii="Segoe UI"/>
      <w:sz w:val="24"/>
      <w:b/>
    </w:rPr>
  </w:style>
  <w:style w:type="paragraph" w:styleId="Heading6" w:customStyle="false">
    <w:uiPriority w:val="11"/>
    <w:qFormat/>
    <w:name w:val="heading 6"/>
    <w:rPr>
      <w:color w:themeColor="accent1" w:themeShade="FF"/>
      <w:rFonts w:ascii="Segoe UI"/>
      <w:sz w:val="22"/>
      <w:b/>
    </w:rPr>
  </w:style>
  <w:style w:type="paragraph" w:styleId="underlinedHeading6" w:customStyle="false">
    <w:uiPriority w:val="11"/>
    <w:qFormat/>
    <w:name w:val="heading 6"/>
    <w:rPr>
      <w:color w:themeColor="accent1" w:themeShade="FF"/>
      <w:rFonts w:ascii="Segoe UI"/>
      <w:sz w:val="22"/>
      <w:b/>
    </w:rPr>
  </w:style>
  <w:style xmlns:w="http://schemas.openxmlformats.org/wordprocessingml/2006/main" w:type="table" w:styleId="TableGrid">
    <w:name w:val="Table Grid"/>
    <w:basedOn w:val="TableNormal"/>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xmlns:w="http://schemas.openxmlformats.org/wordprocessingml/2006/main" w:type="character" w:styleId="Hyperlink">
    <w:name w:val="Hyperlink"/>
    <w:unhideWhenUsed/>
    <w:rPr>
      <w:color w:val="0000FF" w:themeColor="hyperlink"/>
      <w:u w:val="single"/>
    </w:rPr>
  </w:style>
  <w:style w:type="table" w:styleId="InnerTable">
    <w:name w:val="Inner Table"/>
    <w:basedOn w:val="TableGrid"/>
    <w:tblPr>
      <w:tblCellMar>
        <w:left w:w="0" w:type="dxa"/>
        <w:right w:w="0" w:type="dxa"/>
      </w:tblCellMar>
    </w:tblPr>
  </w:style>
  <w:style w:type="paragraph" w:styleId="Title" w:customStyle="false">
    <w:uiPriority w:val="10"/>
    <w:qFormat/>
    <w:name w:val="Title"/>
    <w:basedOn w:val="Normal"/>
    <w:next w:val="Normal"/>
    <w:rPr>
      <w:color w:themeColor="dark1"/>
      <w:rFonts w:ascii="Calibri Light"/>
      <w:sz w:val="56"/>
    </w:rPr>
  </w:style>
  <w:style w:type="paragraph" w:styleId="Subtitle" w:customStyle="false">
    <w:uiPriority w:val="11"/>
    <w:qFormat/>
    <w:name w:val="Subtitle"/>
    <w:basedOn w:val="Normal"/>
    <w:next w:val="Normal"/>
    <w:rPr>
      <w:color w:themeColor="dark1"/>
      <w:rFonts w:ascii="Calibri Light"/>
      <w:sz w:val="32"/>
    </w:rPr>
  </w:style>
</w:styles>
</file>

<file path=word/_rels/document.xml.rels>&#65279;<?xml version="1.0" encoding="utf-8"?><Relationships xmlns="http://schemas.openxmlformats.org/package/2006/relationships"><Relationship Type="http://schemas.openxmlformats.org/officeDocument/2006/relationships/footer" Target="/word/footer1.xml" Id="Rc7d38ce17a5a4a0c" /><Relationship Type="http://schemas.openxmlformats.org/officeDocument/2006/relationships/header" Target="/word/header1.xml" Id="R0235ffea947943f5" /><Relationship Type="http://schemas.openxmlformats.org/officeDocument/2006/relationships/settings" Target="/word/settings.xml" Id="Rb06f8bc43cc74b46" /><Relationship Type="http://schemas.openxmlformats.org/officeDocument/2006/relationships/styles" Target="/word/styles.xml" Id="R62b0c582db8b4ca2" /><Relationship Type="http://schemas.openxmlformats.org/officeDocument/2006/relationships/hyperlink" Target="https://meteor.aihw.gov.au/RegistrationAuthority/12" TargetMode="External" Id="R9a7e950a59c14520" /><Relationship Type="http://schemas.openxmlformats.org/officeDocument/2006/relationships/hyperlink" Target="https://meteor.aihw.gov.au/content/359325" TargetMode="External" Id="R5a3237440fbb4b24" /><Relationship Type="http://schemas.openxmlformats.org/officeDocument/2006/relationships/hyperlink" Target="https://meteor.aihw.gov.au/RegistrationAuthority/12" TargetMode="External" Id="Rf8dcfc5e00c848bc" /><Relationship Type="http://schemas.openxmlformats.org/officeDocument/2006/relationships/hyperlink" Target="https://meteor.aihw.gov.au/content/268955" TargetMode="External" Id="Rdf9d2b0a34ce47d4" /><Relationship Type="http://schemas.openxmlformats.org/officeDocument/2006/relationships/hyperlink" Target="https://meteor.aihw.gov.au/content/360954" TargetMode="External" Id="R23ae57f4192e428e" /><Relationship Type="http://schemas.openxmlformats.org/officeDocument/2006/relationships/hyperlink" Target="https://meteor.aihw.gov.au/content/356727" TargetMode="External" Id="Ra10207b782fa4da3" /><Relationship Type="http://schemas.openxmlformats.org/officeDocument/2006/relationships/hyperlink" Target="https://meteor.aihw.gov.au/RegistrationAuthority/12" TargetMode="External" Id="R8c96c254891f4e68" /><Relationship Type="http://schemas.openxmlformats.org/officeDocument/2006/relationships/hyperlink" Target="https://meteor.aihw.gov.au/content/284812" TargetMode="External" Id="R91d61ec087784ee2" /><Relationship Type="http://schemas.openxmlformats.org/officeDocument/2006/relationships/hyperlink" Target="https://meteor.aihw.gov.au/RegistrationAuthority/12" TargetMode="External" Id="R25b95d23fd3d48cb" /><Relationship Type="http://schemas.openxmlformats.org/officeDocument/2006/relationships/hyperlink" Target="https://meteor.aihw.gov.au/content/344787" TargetMode="External" Id="Rd6bd2b2f441f4b4c" /><Relationship Type="http://schemas.openxmlformats.org/officeDocument/2006/relationships/hyperlink" Target="https://meteor.aihw.gov.au/RegistrationAuthority/12" TargetMode="External" Id="R177beaea87ed4b7d" /><Relationship Type="http://schemas.openxmlformats.org/officeDocument/2006/relationships/hyperlink" Target="https://meteor.aihw.gov.au/content/372930" TargetMode="External" Id="Rfb19b5b20f874b78" /><Relationship Type="http://schemas.openxmlformats.org/officeDocument/2006/relationships/hyperlink" Target="https://meteor.aihw.gov.au/RegistrationAuthority/12" TargetMode="External" Id="Rfc495e376dc34955" /><Relationship Type="http://schemas.openxmlformats.org/officeDocument/2006/relationships/hyperlink" Target="https://meteor.aihw.gov.au/content/482119" TargetMode="External" Id="R6a2724ac0f6e49ed" /><Relationship Type="http://schemas.openxmlformats.org/officeDocument/2006/relationships/hyperlink" Target="https://meteor.aihw.gov.au/RegistrationAuthority/12" TargetMode="External" Id="R7f43e5258cc94502" /><Relationship Type="http://schemas.openxmlformats.org/officeDocument/2006/relationships/hyperlink" Target="https://meteor.aihw.gov.au/content/523140" TargetMode="External" Id="R7ff8cc203e314c7e" /><Relationship Type="http://schemas.openxmlformats.org/officeDocument/2006/relationships/hyperlink" Target="https://meteor.aihw.gov.au/RegistrationAuthority/12" TargetMode="External" Id="R5c9479d43e1348c3" /></Relationships>
</file>

<file path=word/_rels/header1.xml.rels>&#65279;<?xml version="1.0" encoding="utf-8"?><Relationships xmlns="http://schemas.openxmlformats.org/package/2006/relationships"><Relationship Type="http://schemas.openxmlformats.org/officeDocument/2006/relationships/image" Target="/media/image.png" Id="R68bd9f212ac24b0b" /></Relationships>
</file>