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12_document.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tbl>
      <w:tblPr>
        <w:tblStyle w:val="Table1"/>
        <w:tblW w:w="903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45"/>
        <w:tblGridChange w:id="0">
          <w:tblGrid>
            <w:gridCol w:w="4485"/>
            <w:gridCol w:w="4545"/>
          </w:tblGrid>
        </w:tblGridChange>
      </w:tblGrid>
      <w:tr>
        <w:trPr>
          <w:trHeight w:val="3220" w:hRule="atLeast"/>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Title"/>
              <w:spacing w:after="120" w:line="276" w:lineRule="auto"/>
              <w:rPr>
                <w:sz w:val="36"/>
                <w:szCs w:val="36"/>
              </w:rPr>
            </w:pPr>
            <w:bookmarkStart w:colFirst="0" w:colLast="0" w:name="_gg5v3fi7njy0" w:id="0"/>
            <w:bookmarkEnd w:id="0"/>
            <w:r w:rsidDel="00000000" w:rsidR="00000000" w:rsidRPr="00000000">
              <w:rPr>
                <w:sz w:val="36"/>
                <w:szCs w:val="36"/>
                <w:rtl w:val="0"/>
              </w:rPr>
              <w:t xml:space="preserve">Jukka Paloheimo</w:t>
            </w:r>
          </w:p>
          <w:p w:rsidR="00000000" w:rsidDel="00000000" w:rsidP="00000000" w:rsidRDefault="00000000" w:rsidRPr="00000000" w14:paraId="00000003">
            <w:pPr>
              <w:spacing w:line="276" w:lineRule="auto"/>
              <w:jc w:val="left"/>
              <w:rPr/>
            </w:pPr>
            <w:r w:rsidDel="00000000" w:rsidR="00000000" w:rsidRPr="00000000">
              <w:rPr>
                <w:rtl w:val="0"/>
              </w:rPr>
              <w:t xml:space="preserve">Counsel, Employment , Helsinki</w:t>
            </w:r>
          </w:p>
          <w:p w:rsidR="00000000" w:rsidDel="00000000" w:rsidP="00000000" w:rsidRDefault="00000000" w:rsidRPr="00000000" w14:paraId="00000004">
            <w:pPr>
              <w:spacing w:line="276" w:lineRule="auto"/>
              <w:jc w:val="left"/>
              <w:rPr/>
            </w:pPr>
            <w:r w:rsidDel="00000000" w:rsidR="00000000" w:rsidRPr="00000000">
              <w:rPr>
                <w:rtl w:val="0"/>
              </w:rPr>
              <w:t xml:space="preserve">Corporate Investigations &amp; Compliance, Dispute Resolution, Employment</w:t>
            </w:r>
          </w:p>
          <w:tbl>
            <w:tblPr>
              <w:tblStyle w:val="Table2"/>
              <w:tblW w:w="6100.0" w:type="dxa"/>
              <w:jc w:val="left"/>
              <w:tblInd w:w="-11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300"/>
              <w:gridCol w:w="5800"/>
              <w:tblGridChange w:id="0">
                <w:tblGrid>
                  <w:gridCol w:w="300"/>
                  <w:gridCol w:w="5800"/>
                </w:tblGrid>
              </w:tblGridChange>
            </w:tblGrid>
            <w:tr>
              <w:trPr>
                <w:trHeight w:val="440" w:hRule="atLeast"/>
              </w:trPr>
              <w:tc>
                <w:tcPr>
                  <w:shd w:fill="auto" w:val="clear"/>
                  <w:vAlign w:val="center"/>
                </w:tcPr>
                <w:p w:rsidR="00000000" w:rsidDel="00000000" w:rsidP="00000000" w:rsidRDefault="00000000" w:rsidRPr="00000000" w14:paraId="00000005">
                  <w:pPr>
                    <w:spacing w:after="0" w:lineRule="auto"/>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-54609</wp:posOffset>
                        </wp:positionH>
                        <wp:positionV relativeFrom="paragraph">
                          <wp:posOffset>22225</wp:posOffset>
                        </wp:positionV>
                        <wp:extent cx="107950" cy="107950"/>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7950" cy="107950"/>
                                </a:xfrm>
                                <a:prstGeom prst="rect"/>
                                <a:ln/>
                              </pic:spPr>
                            </pic:pic>
                          </a:graphicData>
                        </a:graphic>
                      </wp:anchor>
                    </w:drawing>
                  </w:r>
                </w:p>
              </w:tc>
              <w:tc>
                <w:tcPr>
                  <w:shd w:fill="auto" w:val="clear"/>
                  <w:vAlign w:val="center"/>
                </w:tcPr>
                <w:p w:rsidR="00000000" w:rsidDel="00000000" w:rsidP="00000000" w:rsidRDefault="00000000" w:rsidRPr="00000000" w14:paraId="00000006">
                  <w:pPr>
                    <w:spacing w:after="0" w:lineRule="auto"/>
                    <w:jc w:val="left"/>
                    <w:rPr/>
                  </w:pPr>
                  <w:r w:rsidDel="00000000" w:rsidR="00000000" w:rsidRPr="00000000">
                    <w:rPr>
                      <w:rtl w:val="0"/>
                    </w:rPr>
                    <w:t xml:space="preserve">+358 20 506 6615</w:t>
                  </w:r>
                </w:p>
              </w:tc>
            </w:tr>
            <w:tr>
              <w:trPr>
                <w:trHeight w:val="440" w:hRule="atLeast"/>
              </w:trPr>
              <w:tc>
                <w:tcPr>
                  <w:shd w:fill="auto" w:val="clear"/>
                  <w:vAlign w:val="center"/>
                </w:tcPr>
                <w:p w:rsidR="00000000" w:rsidDel="00000000" w:rsidP="00000000" w:rsidRDefault="00000000" w:rsidRPr="00000000" w14:paraId="00000007">
                  <w:pPr>
                    <w:spacing w:after="0" w:lineRule="auto"/>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-50164</wp:posOffset>
                        </wp:positionH>
                        <wp:positionV relativeFrom="paragraph">
                          <wp:posOffset>-8889</wp:posOffset>
                        </wp:positionV>
                        <wp:extent cx="107315" cy="143510"/>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7315" cy="143510"/>
                                </a:xfrm>
                                <a:prstGeom prst="rect"/>
                                <a:ln/>
                              </pic:spPr>
                            </pic:pic>
                          </a:graphicData>
                        </a:graphic>
                      </wp:anchor>
                    </w:drawing>
                  </w:r>
                </w:p>
              </w:tc>
              <w:tc>
                <w:tcPr>
                  <w:shd w:fill="auto" w:val="clear"/>
                  <w:vAlign w:val="center"/>
                </w:tcPr>
                <w:p w:rsidR="00000000" w:rsidDel="00000000" w:rsidP="00000000" w:rsidRDefault="00000000" w:rsidRPr="00000000" w14:paraId="00000008">
                  <w:pPr>
                    <w:spacing w:after="0" w:lineRule="auto"/>
                    <w:jc w:val="left"/>
                    <w:rPr/>
                  </w:pPr>
                  <w:r w:rsidDel="00000000" w:rsidR="00000000" w:rsidRPr="00000000">
                    <w:rPr>
                      <w:rtl w:val="0"/>
                    </w:rPr>
                    <w:t xml:space="preserve">+358 40 754 2057</w:t>
                  </w:r>
                </w:p>
              </w:tc>
            </w:tr>
            <w:tr>
              <w:trPr>
                <w:trHeight w:val="440" w:hRule="atLeast"/>
              </w:trPr>
              <w:tc>
                <w:tcPr>
                  <w:shd w:fill="auto" w:val="clear"/>
                  <w:vAlign w:val="center"/>
                </w:tcPr>
                <w:p w:rsidR="00000000" w:rsidDel="00000000" w:rsidP="00000000" w:rsidRDefault="00000000" w:rsidRPr="00000000" w14:paraId="00000009">
                  <w:pPr>
                    <w:spacing w:after="0" w:lineRule="auto"/>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-48894</wp:posOffset>
                        </wp:positionH>
                        <wp:positionV relativeFrom="paragraph">
                          <wp:posOffset>47625</wp:posOffset>
                        </wp:positionV>
                        <wp:extent cx="121920" cy="9080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1920" cy="90805"/>
                                </a:xfrm>
                                <a:prstGeom prst="rect"/>
                                <a:ln/>
                              </pic:spPr>
                            </pic:pic>
                          </a:graphicData>
                        </a:graphic>
                      </wp:anchor>
                    </w:drawing>
                  </w:r>
                </w:p>
              </w:tc>
              <w:tc>
                <w:tcPr>
                  <w:shd w:fill="auto" w:val="clear"/>
                  <w:vAlign w:val="center"/>
                </w:tcPr>
                <w:p w:rsidR="00000000" w:rsidDel="00000000" w:rsidP="00000000" w:rsidRDefault="00000000" w:rsidRPr="00000000" w14:paraId="0000000A">
                  <w:pPr>
                    <w:spacing w:after="0" w:lineRule="auto"/>
                    <w:jc w:val="left"/>
                    <w:rPr/>
                  </w:pPr>
                  <w:r w:rsidDel="00000000" w:rsidR="00000000" w:rsidRPr="00000000">
                    <w:rPr>
                      <w:rtl w:val="0"/>
                    </w:rPr>
                    <w:t xml:space="preserve">jukka.paloheimo@roschier.com</w:t>
                  </w:r>
                </w:p>
              </w:tc>
            </w:tr>
          </w:tbl>
          <w:p w:rsidR="00000000" w:rsidDel="00000000" w:rsidP="00000000" w:rsidRDefault="00000000" w:rsidRPr="00000000" w14:paraId="0000000B">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
              <w:pict>
                <v:shape type="#_x0000_t75" style="width:280px;height:225.36585365854px" stroked="f" filled="f">
                  <v:imagedata r:id="rId12" o:title=""/>
                </v:shape>
              </w:pict>
              <w:t xml:space="preserve"/>
            </w:r>
            <w:r w:rsidDel="00000000" w:rsidR="00000000" w:rsidRPr="00000000">
              <w:rPr>
                <w:rtl w:val="0"/>
              </w:rPr>
            </w:r>
          </w:p>
        </w:tc>
      </w:tr>
    </w:tbl>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line="276" w:lineRule="auto"/>
        <w:jc w:val="left"/>
        <w:rPr>
          <w:color w:val="2c2927"/>
        </w:rPr>
      </w:pPr>
      <w:r w:rsidDel="00000000" w:rsidR="00000000" w:rsidRPr="00000000">
        <w:rPr>
          <w:color w:val="2c2927"/>
          <w:rtl w:val="0"/>
        </w:rPr>
        <w:t xml:space="preserve">Jukka Paloheimo is a Helsinki-based Counsel. He has extensive experience from assignments relating to employment and labor law with special emphasis on employment related disputes and criminal matters, including matters related to labor offences as well as occupational health and safety matters. He is a trusted advisor to major companies in these type of complex matters, with previous experience in assisting client companies in matters relating to reorganization and redundancy.</w:t>
      </w:r>
    </w:p>
    <w:p>
      <w:r>
        <w:t xml:space="preserve">Jukka is an accredited mediator of the Finnish Bar Association. He frequently lectures on topics relating to employment law, employment disputes and occupational health and safety. He has also held webinars for international companies regarding Finnish employment law.</w:t>
      </w:r>
    </w:p>
    <w:p>
      <w:r>
        <w:t xml:space="preserve">Prior to joining Roschier, Jukka worked as a Counsel for another major Finnish law firm.</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Recognitions</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Jukka is recognized as one of the leading experts in Finland in the field of employment law by Chambers Europe, The Legal 500 and Lexology Index (formerly Who’s Who Legal).</w:t>
      </w:r>
    </w:p>
    <w:p>
      <w:r>
        <w:t xml:space="preserve">This is what clients say about Jukka:</w:t>
      </w:r>
    </w:p>
    <w:p>
      <w:r>
        <w:t xml:space="preserve">“He is hands-on and has an excellent eye for detail and timing.”</w:t>
      </w:r>
    </w:p>
    <w:p>
      <w:r>
        <w:t xml:space="preserve">– Chambers Europe 2024, Employment</w:t>
      </w:r>
    </w:p>
    <w:p>
      <w:r>
        <w:t xml:space="preserve">“Jukka Paloheimo has a strategic vision on issues.”</w:t>
      </w:r>
    </w:p>
    <w:p>
      <w:r>
        <w:t xml:space="preserve">– Chambers Europe 2024, Employment</w:t>
      </w:r>
    </w:p>
    <w:p>
      <w:r>
        <w:t xml:space="preserve">“Jukka Paloheimo is a seasoned professional, top-class lawyer with the capability to draw the big picture in a limited timeframe with detailed law information, ripple effect scenarios and conclusions. Jukka has a great sense of humour and his in-depth knowledge is impressive, so working with him brings a very high degree of comfort and trust.”</w:t>
      </w:r>
    </w:p>
    <w:p>
      <w:r>
        <w:t xml:space="preserve">– The Legal 500 2024, Employment</w:t>
      </w:r>
    </w:p>
    <w:p>
      <w:r>
        <w:t xml:space="preserve">“Jukka Paloheimo is a great expert in litigation.”</w:t>
      </w:r>
    </w:p>
    <w:p>
      <w:r>
        <w:t xml:space="preserve">– The Legal 500 2024, Employment</w:t>
      </w:r>
    </w:p>
    <w:p>
      <w:r>
        <w:t xml:space="preserve">“His understanding of our case is great.”</w:t>
      </w:r>
    </w:p>
    <w:p>
      <w:r>
        <w:t xml:space="preserve">– Chambers Europe 2023, Employment</w:t>
      </w:r>
    </w:p>
    <w:p>
      <w:r>
        <w:t xml:space="preserve">“Jukka Paloheimo is an experienced litigator.”</w:t>
      </w:r>
    </w:p>
    <w:p>
      <w:r>
        <w:t xml:space="preserve">– The Legal 500 2023, Employment</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Career</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Roschier (2017-)</w:t>
      </w:r>
    </w:p>
    <w:p>
      <w:r>
        <w:t xml:space="preserve">Castrén &amp; Snellman, Counsel (2010-2017), Senior Associate (2007-2010), Associate (2005-2007)</w:t>
      </w:r>
    </w:p>
    <w:p>
      <w:r>
        <w:t xml:space="preserve">Law Clerk, trained at the Bench, District Court of Helsinki (2004-2005)</w:t>
      </w:r>
    </w:p>
    <w:p>
      <w:r>
        <w:t xml:space="preserve">Peltonen, Ruokonen &amp; Itäinen (Currently: DLA Piper Finland Oy), Associate Lawyer (2001-2005)</w:t>
      </w:r>
    </w:p>
    <w:p>
      <w:r>
        <w:t xml:space="preserve">European Public Policy Advisors (Currently: FIPRA Finland Oy), Account Manager (1999-2000)</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Memberships</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Member of the Finnish Bar Association</w:t>
      </w:r>
    </w:p>
    <w:p>
      <w:r>
        <w:t xml:space="preserve">Member of the IBA</w:t>
      </w:r>
    </w:p>
    <w:p>
      <w:r>
        <w:t xml:space="preserve">Member of the European Employment Lawyers Association (EELA)</w:t>
      </w:r>
    </w:p>
    <w:p>
      <w:r>
        <w:t xml:space="preserve">Member of the Finnish Lawyers’ Society</w:t>
      </w:r>
    </w:p>
    <w:p>
      <w:r>
        <w:t xml:space="preserve">Member of the Association of Finnish Lawyers</w:t>
      </w:r>
    </w:p>
    <w:p>
      <w:r>
        <w:t xml:space="preserve">Member of the Young Lawyers Association</w:t>
      </w:r>
    </w:p>
    <w:p>
      <w:r>
        <w:t xml:space="preserve">Member of the Labour Law Association</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Publications</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
      </w:r>
      <w:r>
        <w:rPr>
          <w:b/>
        </w:rPr>
        <w:t xml:space="preserve">“Articles about the law of evidence”</w:t>
      </w:r>
      <w:r>
        <w:rPr/>
        <w:t xml:space="preserve">, Helsinki Court of Appeals, Lappalainen (ed.), 2006</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Education</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University of Helsinki, LL.M. (1999)</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Languages</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English, Finnish, German, Swedish</w:t>
      </w:r>
    </w:p>
    <w:sectPr>
      <w:headerReference r:id="rId9" w:type="default"/>
      <w:footerReference r:id="rId10" w:type="default"/>
      <w:footerReference r:id="rId11" w:type="first"/>
      <w:pgSz w:h="16839" w:w="11907"/>
      <w:pgMar w:bottom="1701" w:top="1701" w:left="1418" w:right="1701" w:header="482"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spacing w:after="0" w:line="480" w:lineRule="auto"/>
      <w:jc w:val="right"/>
      <w:rPr>
        <w:vertAlign w:val="baseline"/>
      </w:rPr>
    </w:pPr>
    <w:r w:rsidDel="00000000" w:rsidR="00000000" w:rsidRPr="00000000">
      <w:rPr>
        <w:b w:val="1"/>
        <w:sz w:val="16"/>
        <w:szCs w:val="16"/>
      </w:rPr>
      <w:drawing>
        <wp:inline distB="0" distT="0" distL="0" distR="0">
          <wp:extent cx="1420371" cy="273149"/>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20371" cy="273149"/>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8789.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3"/>
      <w:gridCol w:w="4536"/>
      <w:tblGridChange w:id="0">
        <w:tblGrid>
          <w:gridCol w:w="4253"/>
          <w:gridCol w:w="4536"/>
        </w:tblGrid>
      </w:tblGridChange>
    </w:tblGrid>
    <w:tr>
      <w:tc>
        <w:tcPr>
          <w:vAlign w:val="bottom"/>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c>
        <w:tcPr>
          <w:vAlign w:val="bottom"/>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Pr>
            <w:drawing>
              <wp:inline distB="0" distT="0" distL="0" distR="0">
                <wp:extent cx="1420371" cy="273149"/>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20371" cy="2731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4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992" w:hanging="992"/>
    </w:pPr>
    <w:rPr>
      <w:rFonts w:ascii="Calibri" w:cs="Calibri" w:eastAsia="Calibri" w:hAnsi="Calibri"/>
      <w:b w:val="1"/>
      <w:sz w:val="28"/>
      <w:szCs w:val="28"/>
    </w:rPr>
  </w:style>
  <w:style w:type="paragraph" w:styleId="Heading2">
    <w:name w:val="heading 2"/>
    <w:basedOn w:val="Normal"/>
    <w:next w:val="Normal"/>
    <w:pPr>
      <w:keepNext w:val="1"/>
      <w:ind w:left="992" w:hanging="992"/>
    </w:pPr>
    <w:rPr>
      <w:rFonts w:ascii="Calibri" w:cs="Calibri" w:eastAsia="Calibri" w:hAnsi="Calibri"/>
      <w:b w:val="1"/>
      <w:sz w:val="24"/>
      <w:szCs w:val="24"/>
    </w:rPr>
  </w:style>
  <w:style w:type="paragraph" w:styleId="Heading3">
    <w:name w:val="heading 3"/>
    <w:basedOn w:val="Normal"/>
    <w:next w:val="Normal"/>
    <w:pPr>
      <w:keepNext w:val="1"/>
      <w:ind w:left="992" w:hanging="992"/>
    </w:pPr>
    <w:rPr>
      <w:rFonts w:ascii="Calibri" w:cs="Calibri" w:eastAsia="Calibri" w:hAnsi="Calibri"/>
      <w:b w:val="1"/>
    </w:rPr>
  </w:style>
  <w:style w:type="paragraph" w:styleId="Heading4">
    <w:name w:val="heading 4"/>
    <w:basedOn w:val="Normal"/>
    <w:next w:val="Normal"/>
    <w:pPr>
      <w:keepNext w:val="1"/>
      <w:ind w:left="992" w:hanging="992"/>
    </w:pPr>
    <w:rPr>
      <w:rFonts w:ascii="Calibri" w:cs="Calibri" w:eastAsia="Calibri" w:hAnsi="Calibri"/>
    </w:rPr>
  </w:style>
  <w:style w:type="paragraph" w:styleId="Heading5">
    <w:name w:val="heading 5"/>
    <w:basedOn w:val="Normal"/>
    <w:next w:val="Normal"/>
    <w:pPr>
      <w:ind w:left="1134"/>
    </w:pPr>
    <w:rPr>
      <w:rFonts w:ascii="Calibri" w:cs="Calibri" w:eastAsia="Calibri" w:hAnsi="Calibri"/>
    </w:rPr>
  </w:style>
  <w:style w:type="paragraph" w:styleId="Heading6">
    <w:name w:val="heading 6"/>
    <w:basedOn w:val="Normal"/>
    <w:next w:val="Normal"/>
    <w:pPr>
      <w:ind w:left="1134"/>
    </w:pPr>
    <w:rPr>
      <w:rFonts w:ascii="Calibri" w:cs="Calibri" w:eastAsia="Calibri" w:hAnsi="Calibri"/>
    </w:rPr>
  </w:style>
  <w:style w:type="paragraph" w:styleId="Title">
    <w:name w:val="Title"/>
    <w:basedOn w:val="Normal"/>
    <w:next w:val="Normal"/>
    <w:pPr>
      <w:keepNext w:val="1"/>
      <w:spacing w:before="100" w:lineRule="auto"/>
    </w:pPr>
    <w:rPr>
      <w:rFonts w:ascii="Calibri" w:cs="Calibri" w:eastAsia="Calibri" w:hAnsi="Calibri"/>
      <w:b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shd w:fill="f4e8e7" w:val="clear"/>
    </w:tcPr>
    <w:tblStylePr w:type="band1Horz">
      <w:tcPr>
        <w:shd w:fill="e9d1cf" w:val="clear"/>
      </w:tcPr>
    </w:tblStylePr>
    <w:tblStylePr w:type="band1Vert">
      <w:tcPr>
        <w:shd w:fill="e9d1cf"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c88c87"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c88c87"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c88c87"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c88c87" w:val="clear"/>
      </w:tcPr>
    </w:tblStylePr>
  </w:style>
  <w:style w:type="table" w:styleId="Table3">
    <w:basedOn w:val="TableNormal"/>
    <w:tblPr>
      <w:tblStyleRowBandSize w:val="1"/>
      <w:tblStyleColBandSize w:val="1"/>
      <w:tblCellMar>
        <w:top w:w="0.0" w:type="dxa"/>
        <w:left w:w="0.0" w:type="dxa"/>
        <w:bottom w:w="113.0" w:type="dxa"/>
        <w:right w:w="0.0" w:type="dxa"/>
      </w:tblCellMar>
    </w:tblPr>
    <w:tcPr>
      <w:shd w:fill="f4e8e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 Id="rId12" Type="http://schemas.openxmlformats.org/officeDocument/2006/relationships/image" Target="media/image_rId12_document.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