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Clockwise_What’s the best ETF to set it and forget 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Clockwise: Clockwise believes a portfolio approach to investing is beneficial to supply diversification of risk versus a singular ETF. There is technically no “best ETF” in the market because every investor has different financial circumstances, risk tolerances and investing goals. However, some ETFs may provide better opportunities over the long run.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example, the S&amp;P (SPY) delivered approximately 10% return per year on average dating back to 1926. VOO is a similar ETF to SPY and also provides a lower expense ratio. It’s important to note that while the annual return is attractive at 10%, it is still an average. Investors can see that the SPY was down nearly 20% in 2022 and 37% in 2008. These ETFs are subjected to the same volatility as the broader markets.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Today, the speed of change is only increasing through technology. As AI proliferates into corporations and society, the frequency and magnitude of price moves are likely to move higher in both directions. Clockwise believes it is important to take an adaptive approach to investing and being acutely sensitive to changes in the dominant cycle in the markets, whether technology or economy. With the Clockwise Core Equity &amp; Innovation ETF (NYSE: TIME), Clockwise proactively adapts portfolio holdings and weightings to reflect the current market sentiment and environment, by leaning into the dominant cycle at play: technology cycle or the economic cycle. This helps actively position the portfolio’s beta (measure of risk) to the appropriate cycle. In all cases, it is beneficial to speak to a financial advisor about your current financial situation and investing goals.</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