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4C32D" w14:textId="77777777" w:rsidR="0050181B" w:rsidRDefault="00000000">
      <w:r>
        <w:rPr>
          <w:rFonts w:ascii="Verdana, Geneva, sans-serif" w:hAnsi="Verdana, Geneva, sans-serif" w:cs="Verdana, Geneva, sans-serif"/>
        </w:rPr>
        <w:t>Verdana Font Demo</w:t>
      </w:r>
    </w:p>
    <w:p w14:paraId="7740910D" w14:textId="77777777" w:rsidR="0050181B" w:rsidRDefault="00000000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03099BA8" w14:textId="77777777" w:rsidR="0050181B" w:rsidRDefault="00000000">
      <w:r>
        <w:rPr>
          <w:rFonts w:ascii="Verdana, Geneva, sans-serif" w:hAnsi="Verdana, Geneva, sans-serif" w:cs="Verdana, Geneva, sans-serif"/>
        </w:rPr>
        <w:t>Verdana is a highly readable sans-serif font.</w:t>
      </w:r>
    </w:p>
    <w:sectPr w:rsidR="0050181B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181B"/>
    <w:rsid w:val="0033635D"/>
    <w:rsid w:val="0050181B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ABE74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42E2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E24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E24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E2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E24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2026-05-14T16:56:00Z</dcterms:created>
  <dcterms:modified xsi:type="dcterms:W3CDTF">2026-07-05T03:22:00Z</dcterms:modified>
</cp:coreProperties>
</file>