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gif" ContentType="image/gif"/>
  <Default Extension="rels" ContentType="application/vnd.openxmlformats-package.relationships+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officeDocument" Target="/word/document.xml" Id="Ra95fac5e3ff74cb7" /></Relationships>
</file>

<file path=word/document.xml><?xml version="1.0" encoding="utf-8"?>
<w:document xmlns:r="http://schemas.openxmlformats.org/officeDocument/2006/relationships" xmlns:w="http://schemas.openxmlformats.org/wordprocessingml/2006/main">
  <w:body>
    <w:p>
      <w:pPr>
        <w:pStyle w:val="Title"/>
      </w:pPr>
      <w:r>
        <w:t>Admitted patient hospital stay—number of patient days (of contracted care), total N[NN]</w:t>
      </w:r>
    </w:p>
    <w:p>
      <w:pPr>
        <w:pStyle w:val="Subtitle"/>
      </w:pPr>
      <w:r>
        <w:t>Exported from METEOR</w:t>
      </w:r>
    </w:p>
    <w:p>
      <w:pPr>
        <w:pStyle w:val="Subtitle"/>
        <w:spacing w:after="4100"/>
      </w:pPr>
      <w:r>
        <w:t>(AIHW's Metadata Online Registry)</w:t>
      </w:r>
    </w:p>
    <w:p>
      <w:r>
        <w:t>© Australian Institute of Health and Welfare 2024</w:t>
      </w:r>
    </w:p>
    <w:p>
      <w:r>
        <w:t/>
      </w:r>
    </w:p>
    <w:p>
      <w:r>
        <w:t>This product, excluding the AIHW logo, Commonwealth Coat of Arms and any material owned by a third party or protected by a trademark, has been released under a Creative Commons BY 4.0 (CC BY 4.0) licence. Excluded material owned by third parties may include, for example, design and layout, images obtained under licence from third parties and signatures. We have made all reasonable efforts to identify and label material owned by third parties.</w:t>
      </w:r>
    </w:p>
    <w:p>
      <w:r>
        <w:t>You may distribute, remix and build on this website’s material but must attribute the AIHW as the copyright holder, in line with our attribution policy. The full terms and conditions of this licence are available at https://creativecommons.org/licenses/by/4.0/.</w:t>
      </w:r>
    </w:p>
    <w:p>
      <w:r>
        <w:t>Enquiries relating to copyright should be addressed to info@aihw.gov.au.</w:t>
      </w:r>
    </w:p>
    <w:p>
      <w:r>
        <w:t>Enquiries or comments on the METEOR metadata or download should be directed to the METEOR team at meteor@aihw.gov.au.</w:t>
      </w:r>
    </w:p>
    <w:p>
      <w:r>
        <w:br w:type="page"/>
      </w:r>
    </w:p>
    <w:p>
      <w:pPr>
        <w:pStyle w:val="Heading1"/>
      </w:pPr>
      <w:r>
        <w:t xml:space="preserve">Admitted patient hospital stay—number of patient days (of contracted care), total N[NN]</w:t>
      </w:r>
    </w:p>
    <w:tbl>
      <w:tblPr>
        <w:tblStyle w:val="TableGrid"/>
        <w:tblW w:w="5000" w:type="pct"/>
        <w:tblLayout w:type="fixed"/>
      </w:tblPr>
      <w:tblGrid>
        <w:gridCol/>
        <w:gridCol/>
      </w:tblGrid>
      <w:tr>
        <w:trPr/>
        <w:tc>
          <w:tcPr>
            <w:gridSpan w:val="2"/>
            <w:tcBorders>
              <w:top w:val="none" w:color="000000" w:sz="0"/>
              <w:left w:val="none" w:color="000000" w:sz="0"/>
              <w:bottom w:val="none" w:color="000000" w:sz="0"/>
              <w:right w:val="none" w:color="000000" w:sz="0"/>
            </w:tcBorders>
            <w:vAlign w:val="top"/>
            <w:tcMar>
              <w:top w:w="200"/>
              <w:bottom w:w="100"/>
            </w:tcMar>
          </w:tcPr>
          <w:p>
            <w:pPr>
              <w:pStyle w:val="Heading3"/>
            </w:pPr>
            <w:r>
              <w:t xml:space="preserve">Identifying and definitional attributes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Metadata item type:</w:t>
            </w:r>
          </w:p>
        </w:tc>
        <w:tc>
          <w:tcPr>
            <w:tcBorders>
              <w:top w:val="none" w:color="000000" w:sz="0"/>
              <w:left w:val="none" w:color="000000" w:sz="0"/>
              <w:bottom w:val="none" w:color="000000" w:sz="0"/>
              <w:right w:val="none" w:color="000000" w:sz="0"/>
            </w:tcBorders>
            <w:vAlign w:val="top"/>
          </w:tcPr>
          <w:p>
            <w:r>
              <w:t xml:space="preserve">Data Element</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Short name:</w:t>
            </w:r>
          </w:p>
        </w:tc>
        <w:tc>
          <w:tcPr>
            <w:tcBorders>
              <w:top w:val="none" w:color="000000" w:sz="0"/>
              <w:left w:val="none" w:color="000000" w:sz="0"/>
              <w:bottom w:val="none" w:color="000000" w:sz="0"/>
              <w:right w:val="none" w:color="000000" w:sz="0"/>
            </w:tcBorders>
            <w:vAlign w:val="top"/>
          </w:tcPr>
          <w:p>
            <w:r>
              <w:rPr>
                <w:rStyle w:val="alternate-name-de"/>
              </w:rPr>
              <w:t xml:space="preserve">Total contract patient days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METEOR identifier:</w:t>
            </w:r>
          </w:p>
        </w:tc>
        <w:tc>
          <w:tcPr>
            <w:tcBorders>
              <w:top w:val="none" w:color="000000" w:sz="0"/>
              <w:left w:val="none" w:color="000000" w:sz="0"/>
              <w:bottom w:val="none" w:color="000000" w:sz="0"/>
              <w:right w:val="none" w:color="000000" w:sz="0"/>
            </w:tcBorders>
            <w:vAlign w:val="top"/>
          </w:tcPr>
          <w:p>
            <w:r>
              <w:t xml:space="preserve">270301</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Registration status:</w:t>
            </w:r>
          </w:p>
        </w:tc>
        <w:tc>
          <w:tcPr>
            <w:tcBorders>
              <w:top w:val="none" w:color="000000" w:sz="0"/>
              <w:left w:val="none" w:color="000000" w:sz="0"/>
              <w:bottom w:val="none" w:color="000000" w:sz="0"/>
              <w:right w:val="none" w:color="000000" w:sz="0"/>
            </w:tcBorders>
            <w:vAlign w:val="top"/>
          </w:tcPr>
          <w:p>
            <w:pPr>
              <w:spacing w:before="0" w:after="0"/>
            </w:pPr>
            <w:hyperlink w:history="true" r:id="R610ba2daf3964e0a">
              <w:r>
                <w:rPr>
                  <w:rStyle w:val="Hyperlink"/>
                  <w:color w:val="244061"/>
                </w:rPr>
                <w:t xml:space="preserve">Health</w:t>
              </w:r>
            </w:hyperlink>
            <w:r>
              <w:rPr>
                <w:rStyle w:val="row-content"/>
                <w:color w:val="244061"/>
              </w:rPr>
              <w:t xml:space="preserve">, Standard 01/03/2005</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Definition:</w:t>
            </w:r>
          </w:p>
        </w:tc>
        <w:tc>
          <w:tcPr>
            <w:tcBorders>
              <w:top w:val="none" w:color="000000" w:sz="0"/>
              <w:left w:val="none" w:color="000000" w:sz="0"/>
              <w:bottom w:val="none" w:color="000000" w:sz="0"/>
              <w:right w:val="none" w:color="000000" w:sz="0"/>
            </w:tcBorders>
            <w:vAlign w:val="top"/>
          </w:tcPr>
          <w:p>
            <w:pPr/>
            <w:r>
              <w:rPr>
                <w:rStyle w:val="row-content-rich-text"/>
              </w:rPr>
              <w:t xml:space="preserve">Sum of the number of contract patient days for all periods within the hospital stay.</w:t>
            </w:r>
          </w:p>
        </w:tc>
      </w:tr>
    </w:tbl>
    <w:p/>
    <w:tbl>
      <w:tblPr>
        <w:tblStyle w:val="TableGrid"/>
        <w:tblW w:w="5000" w:type="pct"/>
        <w:tblLayout w:type="fixed"/>
      </w:tblPr>
      <w:tblGrid>
        <w:gridCol/>
        <w:gridCol/>
      </w:tblGrid>
      <w:tr>
        <w:trPr/>
        <w:tc>
          <w:tcPr>
            <w:gridSpan w:val="2"/>
            <w:tcBorders>
              <w:top w:val="none" w:color="000000" w:sz="0"/>
              <w:left w:val="none" w:color="000000" w:sz="0"/>
              <w:bottom w:val="none" w:color="000000" w:sz="0"/>
              <w:right w:val="none" w:color="000000" w:sz="0"/>
            </w:tcBorders>
            <w:vAlign w:val="top"/>
          </w:tcPr>
          <w:p>
            <w:pPr>
              <w:pStyle w:val="underlinedHeading2"/>
              <w:pBdr>
                <w:bottom w:val="single"/>
              </w:pBdr>
            </w:pPr>
            <w:r>
              <w:t xml:space="preserve">Data element concept attributes</w:t>
            </w:r>
          </w:p>
        </w:tc>
      </w:tr>
      <w:tr>
        <w:trPr/>
        <w:tc>
          <w:tcPr>
            <w:gridSpan w:val="2"/>
            <w:tcBorders>
              <w:top w:val="none" w:color="000000" w:sz="0"/>
              <w:left w:val="none" w:color="000000" w:sz="0"/>
              <w:bottom w:val="none" w:color="000000" w:sz="0"/>
              <w:right w:val="none" w:color="000000" w:sz="0"/>
            </w:tcBorders>
            <w:vAlign w:val="top"/>
            <w:tcMar>
              <w:top w:w="200"/>
              <w:bottom w:w="100"/>
            </w:tcMar>
          </w:tcPr>
          <w:p>
            <w:pPr>
              <w:pStyle w:val="Heading3"/>
            </w:pPr>
            <w:r>
              <w:t xml:space="preserve">Identifying and definitional attributes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Data element concept:</w:t>
            </w:r>
          </w:p>
        </w:tc>
        <w:tc>
          <w:tcPr>
            <w:tcBorders>
              <w:top w:val="none" w:color="000000" w:sz="0"/>
              <w:left w:val="none" w:color="000000" w:sz="0"/>
              <w:bottom w:val="none" w:color="000000" w:sz="0"/>
              <w:right w:val="none" w:color="000000" w:sz="0"/>
            </w:tcBorders>
            <w:vAlign w:val="top"/>
          </w:tcPr>
          <w:p>
            <w:hyperlink w:history="true" r:id="R17c0209de78e45c0">
              <w:r>
                <w:rPr>
                  <w:rStyle w:val="Hyperlink"/>
                </w:rPr>
                <w:t xml:space="preserve">Admitted patient hospital stay—number of patient days (of contracted care)</w:t>
              </w:r>
            </w:hyperlink>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METEOR identifier:</w:t>
            </w:r>
          </w:p>
        </w:tc>
        <w:tc>
          <w:tcPr>
            <w:tcBorders>
              <w:top w:val="none" w:color="000000" w:sz="0"/>
              <w:left w:val="none" w:color="000000" w:sz="0"/>
              <w:bottom w:val="none" w:color="000000" w:sz="0"/>
              <w:right w:val="none" w:color="000000" w:sz="0"/>
            </w:tcBorders>
            <w:vAlign w:val="top"/>
          </w:tcPr>
          <w:p>
            <w:r>
              <w:t xml:space="preserve">269738</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Registration status:</w:t>
            </w:r>
          </w:p>
        </w:tc>
        <w:tc>
          <w:tcPr>
            <w:tcBorders>
              <w:top w:val="none" w:color="000000" w:sz="0"/>
              <w:left w:val="none" w:color="000000" w:sz="0"/>
              <w:bottom w:val="none" w:color="000000" w:sz="0"/>
              <w:right w:val="none" w:color="000000" w:sz="0"/>
            </w:tcBorders>
            <w:vAlign w:val="top"/>
          </w:tcPr>
          <w:p>
            <w:pPr>
              <w:spacing w:before="0" w:after="0"/>
            </w:pPr>
            <w:hyperlink w:history="true" r:id="R21d19b0b1e344c58">
              <w:r>
                <w:rPr>
                  <w:rStyle w:val="Hyperlink"/>
                  <w:color w:val="244061"/>
                </w:rPr>
                <w:t xml:space="preserve">Health</w:t>
              </w:r>
            </w:hyperlink>
            <w:r>
              <w:rPr>
                <w:rStyle w:val="row-content"/>
                <w:color w:val="244061"/>
              </w:rPr>
              <w:t xml:space="preserve">, Standard 01/03/2005</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Definition:</w:t>
            </w:r>
          </w:p>
        </w:tc>
        <w:tc>
          <w:tcPr>
            <w:tcBorders>
              <w:top w:val="none" w:color="000000" w:sz="0"/>
              <w:left w:val="none" w:color="000000" w:sz="0"/>
              <w:bottom w:val="none" w:color="000000" w:sz="0"/>
              <w:right w:val="none" w:color="000000" w:sz="0"/>
            </w:tcBorders>
            <w:vAlign w:val="top"/>
          </w:tcPr>
          <w:p>
            <w:pPr/>
            <w:r>
              <w:rPr>
                <w:rStyle w:val="row-content-rich-text"/>
              </w:rPr>
              <w:t xml:space="preserve">Number of contract patient days (contracted care completion date minus contracted care commencement date) for all periods within the hospital stay.</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Context:</w:t>
            </w:r>
          </w:p>
        </w:tc>
        <w:tc>
          <w:tcPr>
            <w:tcBorders>
              <w:top w:val="none" w:color="000000" w:sz="0"/>
              <w:left w:val="none" w:color="000000" w:sz="0"/>
              <w:bottom w:val="none" w:color="000000" w:sz="0"/>
              <w:right w:val="none" w:color="000000" w:sz="0"/>
            </w:tcBorders>
            <w:vAlign w:val="top"/>
          </w:tcPr>
          <w:p>
            <w:pPr/>
            <w:r>
              <w:rPr>
                <w:rStyle w:val="row-content-rich-text"/>
              </w:rPr>
              <w:t xml:space="preserve">Admitted patient care.</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Object class:</w:t>
            </w:r>
          </w:p>
        </w:tc>
        <w:tc>
          <w:tcPr>
            <w:tcBorders>
              <w:top w:val="none" w:color="000000" w:sz="0"/>
              <w:left w:val="none" w:color="000000" w:sz="0"/>
              <w:bottom w:val="none" w:color="000000" w:sz="0"/>
              <w:right w:val="none" w:color="000000" w:sz="0"/>
            </w:tcBorders>
            <w:vAlign w:val="top"/>
          </w:tcPr>
          <w:p>
            <w:hyperlink w:history="true" r:id="Ra14d4d3e464040c2">
              <w:r>
                <w:rPr>
                  <w:rStyle w:val="Hyperlink"/>
                </w:rPr>
                <w:t xml:space="preserve">Admitted patient hospital stay</w:t>
              </w:r>
            </w:hyperlink>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Property:</w:t>
            </w:r>
          </w:p>
        </w:tc>
        <w:tc>
          <w:tcPr>
            <w:tcBorders>
              <w:top w:val="none" w:color="000000" w:sz="0"/>
              <w:left w:val="none" w:color="000000" w:sz="0"/>
              <w:bottom w:val="none" w:color="000000" w:sz="0"/>
              <w:right w:val="none" w:color="000000" w:sz="0"/>
            </w:tcBorders>
            <w:vAlign w:val="top"/>
          </w:tcPr>
          <w:p>
            <w:hyperlink w:history="true" r:id="R44f10c1d7279437d">
              <w:r>
                <w:rPr>
                  <w:rStyle w:val="Hyperlink"/>
                </w:rPr>
                <w:t xml:space="preserve">Number of patient days</w:t>
              </w:r>
            </w:hyperlink>
          </w:p>
        </w:tc>
      </w:tr>
    </w:tbl>
    <w:p/>
    <w:tbl>
      <w:tblPr>
        <w:tblStyle w:val="TableGrid"/>
        <w:tblW w:w="5000" w:type="pct"/>
        <w:tblLayout w:type="fixed"/>
      </w:tblPr>
      <w:tblGrid>
        <w:gridCol/>
        <w:gridCol/>
      </w:tblGrid>
      <w:tr>
        <w:trPr/>
        <w:tc>
          <w:tcPr>
            <w:gridSpan w:val="2"/>
            <w:tcBorders>
              <w:top w:val="none" w:color="000000" w:sz="0"/>
              <w:left w:val="none" w:color="000000" w:sz="0"/>
              <w:bottom w:val="none" w:color="000000" w:sz="0"/>
              <w:right w:val="none" w:color="000000" w:sz="0"/>
            </w:tcBorders>
            <w:vAlign w:val="top"/>
          </w:tcPr>
          <w:p>
            <w:pPr>
              <w:pStyle w:val="underlinedHeading2"/>
              <w:pBdr>
                <w:bottom w:val="single"/>
              </w:pBdr>
            </w:pPr>
            <w:r>
              <w:t xml:space="preserve">Value domain attributes</w:t>
            </w:r>
            <w:r>
              <w:t xml:space="preserve"> </w:t>
            </w:r>
          </w:p>
        </w:tc>
      </w:tr>
      <w:tr>
        <w:trPr/>
        <w:tc>
          <w:tcPr>
            <w:gridSpan w:val="2"/>
            <w:tcBorders>
              <w:top w:val="none" w:color="000000" w:sz="0"/>
              <w:left w:val="none" w:color="000000" w:sz="0"/>
              <w:bottom w:val="none" w:color="000000" w:sz="0"/>
              <w:right w:val="none" w:color="000000" w:sz="0"/>
            </w:tcBorders>
            <w:vAlign w:val="top"/>
            <w:tcMar>
              <w:top w:w="200"/>
              <w:bottom w:w="100"/>
            </w:tcMar>
          </w:tcPr>
          <w:p>
            <w:pPr>
              <w:pStyle w:val="Heading3"/>
            </w:pPr>
            <w:r>
              <w:t xml:space="preserve">Identifying and definitional attributes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Value domain:</w:t>
            </w:r>
          </w:p>
        </w:tc>
        <w:tc>
          <w:tcPr>
            <w:tcBorders>
              <w:top w:val="none" w:color="000000" w:sz="0"/>
              <w:left w:val="none" w:color="000000" w:sz="0"/>
              <w:bottom w:val="none" w:color="000000" w:sz="0"/>
              <w:right w:val="none" w:color="000000" w:sz="0"/>
            </w:tcBorders>
            <w:vAlign w:val="top"/>
          </w:tcPr>
          <w:p>
            <w:hyperlink w:history="true" r:id="Rd0f055c4a4c04f5f">
              <w:r>
                <w:rPr>
                  <w:rStyle w:val="Hyperlink"/>
                </w:rPr>
                <w:t xml:space="preserve">Total days N[NN]</w:t>
              </w:r>
            </w:hyperlink>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METEOR identifier:</w:t>
            </w:r>
          </w:p>
        </w:tc>
        <w:tc>
          <w:tcPr>
            <w:tcBorders>
              <w:top w:val="none" w:color="000000" w:sz="0"/>
              <w:left w:val="none" w:color="000000" w:sz="0"/>
              <w:bottom w:val="none" w:color="000000" w:sz="0"/>
              <w:right w:val="none" w:color="000000" w:sz="0"/>
            </w:tcBorders>
            <w:vAlign w:val="top"/>
          </w:tcPr>
          <w:p>
            <w:r>
              <w:t xml:space="preserve">270577</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Registration status:</w:t>
            </w:r>
          </w:p>
        </w:tc>
        <w:tc>
          <w:tcPr>
            <w:tcBorders>
              <w:top w:val="none" w:color="000000" w:sz="0"/>
              <w:left w:val="none" w:color="000000" w:sz="0"/>
              <w:bottom w:val="none" w:color="000000" w:sz="0"/>
              <w:right w:val="none" w:color="000000" w:sz="0"/>
            </w:tcBorders>
            <w:vAlign w:val="top"/>
          </w:tcPr>
          <w:p>
            <w:pPr>
              <w:spacing w:before="0" w:after="0"/>
            </w:pPr>
            <w:hyperlink w:history="true" r:id="R547a119933dd4294">
              <w:r>
                <w:rPr>
                  <w:rStyle w:val="Hyperlink"/>
                  <w:color w:val="244061"/>
                </w:rPr>
                <w:t xml:space="preserve">Community Services (retired)</w:t>
              </w:r>
            </w:hyperlink>
            <w:r>
              <w:rPr>
                <w:rStyle w:val="row-content"/>
                <w:color w:val="244061"/>
              </w:rPr>
              <w:t xml:space="preserve">, Standard 10/04/2013</w:t>
            </w:r>
          </w:p>
          <w:p>
            <w:pPr>
              <w:spacing w:before="0" w:after="0"/>
            </w:pPr>
            <w:hyperlink w:history="true" r:id="R13d742f26c3241b0">
              <w:r>
                <w:rPr>
                  <w:rStyle w:val="Hyperlink"/>
                  <w:color w:val="244061"/>
                </w:rPr>
                <w:t xml:space="preserve">Disability</w:t>
              </w:r>
            </w:hyperlink>
            <w:r>
              <w:rPr>
                <w:rStyle w:val="row-content"/>
                <w:color w:val="244061"/>
              </w:rPr>
              <w:t xml:space="preserve">, Standard 13/08/2015</w:t>
            </w:r>
          </w:p>
          <w:p>
            <w:pPr>
              <w:spacing w:before="0" w:after="0"/>
            </w:pPr>
            <w:hyperlink w:history="true" r:id="R2ad7594919a945c9">
              <w:r>
                <w:rPr>
                  <w:rStyle w:val="Hyperlink"/>
                  <w:color w:val="244061"/>
                </w:rPr>
                <w:t xml:space="preserve">Health</w:t>
              </w:r>
            </w:hyperlink>
            <w:r>
              <w:rPr>
                <w:rStyle w:val="row-content"/>
                <w:color w:val="244061"/>
              </w:rPr>
              <w:t xml:space="preserve">, Standard 01/03/2005</w:t>
            </w:r>
          </w:p>
          <w:p>
            <w:pPr>
              <w:spacing w:before="0" w:after="0"/>
            </w:pPr>
            <w:hyperlink w:history="true" r:id="R50f77594b28248ee">
              <w:r>
                <w:rPr>
                  <w:rStyle w:val="Hyperlink"/>
                  <w:color w:val="244061"/>
                </w:rPr>
                <w:t xml:space="preserve">Independent Hospital Pricing Authority</w:t>
              </w:r>
            </w:hyperlink>
            <w:r>
              <w:rPr>
                <w:rStyle w:val="row-content"/>
                <w:color w:val="244061"/>
              </w:rPr>
              <w:t xml:space="preserve">, Standard 16/03/2016</w:t>
            </w:r>
          </w:p>
          <w:p>
            <w:pPr>
              <w:spacing w:before="0" w:after="0"/>
            </w:pPr>
            <w:hyperlink w:history="true" r:id="Re1bc522c0a004721">
              <w:r>
                <w:rPr>
                  <w:rStyle w:val="Hyperlink"/>
                  <w:color w:val="244061"/>
                </w:rPr>
                <w:t xml:space="preserve">National Health Performance Authority (retired)</w:t>
              </w:r>
            </w:hyperlink>
            <w:r>
              <w:rPr>
                <w:rStyle w:val="row-content"/>
                <w:color w:val="244061"/>
              </w:rPr>
              <w:t xml:space="preserve">, Retired 01/07/2016</w:t>
            </w:r>
          </w:p>
          <w:p>
            <w:pPr>
              <w:spacing w:before="0" w:after="0"/>
            </w:pPr>
            <w:hyperlink w:history="true" r:id="R932bbf42797b41c1">
              <w:r>
                <w:rPr>
                  <w:rStyle w:val="Hyperlink"/>
                  <w:color w:val="244061"/>
                </w:rPr>
                <w:t xml:space="preserve">Tasmanian Health</w:t>
              </w:r>
            </w:hyperlink>
            <w:r>
              <w:rPr>
                <w:rStyle w:val="row-content"/>
                <w:color w:val="244061"/>
              </w:rPr>
              <w:t xml:space="preserve">, Standard 05/09/2016</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Definition:</w:t>
            </w:r>
          </w:p>
        </w:tc>
        <w:tc>
          <w:tcPr>
            <w:tcBorders>
              <w:top w:val="none" w:color="000000" w:sz="0"/>
              <w:left w:val="none" w:color="000000" w:sz="0"/>
              <w:bottom w:val="none" w:color="000000" w:sz="0"/>
              <w:right w:val="none" w:color="000000" w:sz="0"/>
            </w:tcBorders>
            <w:vAlign w:val="top"/>
          </w:tcPr>
          <w:p>
            <w:pPr/>
            <w:r>
              <w:rPr>
                <w:rStyle w:val="row-content-rich-text"/>
              </w:rPr>
              <w:t xml:space="preserve">Total number of days.</w:t>
            </w:r>
          </w:p>
        </w:tc>
      </w:tr>
    </w:tbl>
    <w:p/>
    <w:tbl>
      <w:tblPr>
        <w:tblStyle w:val="TableGrid"/>
        <w:tblW w:w="5000" w:type="pct"/>
        <w:tblLayout w:type="fixed"/>
      </w:tblPr>
      <w:tblGrid>
        <w:gridCol/>
        <w:gridCol/>
        <w:gridCol/>
      </w:tblGrid>
      <w:tr>
        <w:trPr/>
        <w:tc>
          <w:tcPr>
            <w:gridSpan w:val="3"/>
            <w:tcBorders>
              <w:top w:val="none" w:color="000000" w:sz="0"/>
              <w:left w:val="none" w:color="000000" w:sz="0"/>
              <w:bottom w:val="none" w:color="000000" w:sz="0"/>
              <w:right w:val="none" w:color="000000" w:sz="0"/>
            </w:tcBorders>
            <w:vAlign w:val="top"/>
            <w:tcMar>
              <w:top w:w="200"/>
              <w:bottom w:w="100"/>
            </w:tcMar>
          </w:tcPr>
          <w:p>
            <w:pPr>
              <w:pStyle w:val="Heading3"/>
            </w:pPr>
            <w:r>
              <w:t xml:space="preserve">Representational attributes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Representation class:</w:t>
            </w:r>
          </w:p>
        </w:tc>
        <w:tc>
          <w:tcPr>
            <w:tcW w:w="3750" w:type="pct"/>
            <w:gridSpan w:val="2"/>
            <w:tcBorders>
              <w:top w:val="none" w:color="000000" w:sz="0"/>
              <w:left w:val="none" w:color="000000" w:sz="0"/>
              <w:bottom w:val="none" w:color="000000" w:sz="0"/>
              <w:right w:val="none" w:color="000000" w:sz="0"/>
            </w:tcBorders>
            <w:vAlign w:val="top"/>
            <w:tcMar>
              <w:top w:w="100"/>
              <w:bottom w:w="100"/>
            </w:tcMar>
          </w:tcPr>
          <w:p>
            <w:r>
              <w:rPr>
                <w:rStyle w:val="row-content"/>
              </w:rPr>
              <w:t xml:space="preserve">Total</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Data type:</w:t>
            </w:r>
          </w:p>
        </w:tc>
        <w:tc>
          <w:tcPr>
            <w:tcW w:w="3750" w:type="pct"/>
            <w:gridSpan w:val="2"/>
            <w:tcBorders>
              <w:top w:val="none" w:color="000000" w:sz="0"/>
              <w:left w:val="none" w:color="000000" w:sz="0"/>
              <w:bottom w:val="none" w:color="000000" w:sz="0"/>
              <w:right w:val="none" w:color="000000" w:sz="0"/>
            </w:tcBorders>
            <w:vAlign w:val="top"/>
            <w:tcMar>
              <w:top w:w="100"/>
              <w:bottom w:w="100"/>
            </w:tcMar>
          </w:tcPr>
          <w:p>
            <w:r>
              <w:rPr>
                <w:rStyle w:val="row-content"/>
              </w:rPr>
              <w:t xml:space="preserve">Number</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Format:</w:t>
            </w:r>
          </w:p>
        </w:tc>
        <w:tc>
          <w:tcPr>
            <w:tcW w:w="3750" w:type="pct"/>
            <w:gridSpan w:val="2"/>
            <w:tcBorders>
              <w:top w:val="none" w:color="000000" w:sz="0"/>
              <w:left w:val="none" w:color="000000" w:sz="0"/>
              <w:bottom w:val="none" w:color="000000" w:sz="0"/>
              <w:right w:val="none" w:color="000000" w:sz="0"/>
            </w:tcBorders>
            <w:vAlign w:val="top"/>
            <w:tcMar>
              <w:top w:w="100"/>
              <w:bottom w:w="100"/>
            </w:tcMar>
          </w:tcPr>
          <w:p>
            <w:r>
              <w:rPr>
                <w:rStyle w:val="row-content"/>
              </w:rPr>
              <w:t xml:space="preserve">N[NN]</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Maximum character length:</w:t>
            </w:r>
          </w:p>
        </w:tc>
        <w:tc>
          <w:tcPr>
            <w:tcW w:w="3750" w:type="pct"/>
            <w:gridSpan w:val="2"/>
            <w:tcBorders>
              <w:top w:val="none" w:color="000000" w:sz="0"/>
              <w:left w:val="none" w:color="000000" w:sz="0"/>
              <w:bottom w:val="none" w:color="000000" w:sz="0"/>
              <w:right w:val="none" w:color="000000" w:sz="0"/>
            </w:tcBorders>
            <w:vAlign w:val="top"/>
            <w:tcMar>
              <w:top w:w="100"/>
              <w:bottom w:w="100"/>
            </w:tcMar>
          </w:tcPr>
          <w:p>
            <w:r>
              <w:rPr>
                <w:rStyle w:val="row-content"/>
              </w:rPr>
              <w:t xml:space="preserve">3</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Unit of measure:</w:t>
            </w:r>
          </w:p>
        </w:tc>
        <w:tc>
          <w:tcPr>
            <w:tcW w:w="3750" w:type="pct"/>
            <w:gridSpan w:val="2"/>
            <w:tcBorders>
              <w:top w:val="none" w:color="000000" w:sz="0"/>
              <w:left w:val="none" w:color="000000" w:sz="0"/>
              <w:bottom w:val="none" w:color="000000" w:sz="0"/>
              <w:right w:val="none" w:color="000000" w:sz="0"/>
            </w:tcBorders>
            <w:vAlign w:val="top"/>
            <w:tcMar>
              <w:top w:w="100"/>
              <w:bottom w:w="100"/>
            </w:tcMar>
          </w:tcPr>
          <w:p>
            <w:r>
              <w:rPr>
                <w:rStyle w:val="row-content"/>
              </w:rPr>
              <w:t xml:space="preserve">Day</w:t>
            </w:r>
          </w:p>
        </w:tc>
      </w:tr>
    </w:tbl>
    <w:p/>
    <w:tbl>
      <w:tblPr>
        <w:tblStyle w:val="TableGrid"/>
        <w:tblW w:w="0" w:type="auto"/>
      </w:tblPr>
    </w:tbl>
    <w:p/>
    <w:tbl>
      <w:tblPr>
        <w:tblStyle w:val="TableGrid"/>
        <w:tblW w:w="5000" w:type="pct"/>
        <w:tblLayout w:type="fixed"/>
      </w:tblPr>
      <w:tblGrid>
        <w:gridCol/>
        <w:gridCol/>
      </w:tblGrid>
      <w:tr>
        <w:trPr/>
        <w:tc>
          <w:tcPr>
            <w:gridSpan w:val="2"/>
            <w:tcBorders>
              <w:top w:val="none" w:color="000000" w:sz="0"/>
              <w:left w:val="none" w:color="000000" w:sz="0"/>
              <w:bottom w:val="none" w:color="000000" w:sz="0"/>
              <w:right w:val="none" w:color="000000" w:sz="0"/>
            </w:tcBorders>
            <w:vAlign w:val="top"/>
          </w:tcPr>
          <w:p>
            <w:pPr>
              <w:pStyle w:val="underlinedHeading2"/>
              <w:pBdr>
                <w:bottom w:val="single"/>
              </w:pBdr>
            </w:pPr>
            <w:r>
              <w:t xml:space="preserve">Data element attributes</w:t>
            </w:r>
            <w:r>
              <w:t xml:space="preserve"> </w:t>
            </w:r>
          </w:p>
        </w:tc>
      </w:tr>
      <w:tr>
        <w:trPr/>
        <w:tc>
          <w:tcPr>
            <w:gridSpan w:val="2"/>
            <w:tcBorders>
              <w:top w:val="none" w:color="000000" w:sz="0"/>
              <w:left w:val="none" w:color="000000" w:sz="0"/>
              <w:bottom w:val="none" w:color="000000" w:sz="0"/>
              <w:right w:val="none" w:color="000000" w:sz="0"/>
            </w:tcBorders>
            <w:vAlign w:val="top"/>
            <w:tcMar>
              <w:top w:w="200"/>
              <w:bottom w:w="100"/>
            </w:tcMar>
          </w:tcPr>
          <w:p>
            <w:pPr>
              <w:pStyle w:val="Heading3"/>
            </w:pPr>
            <w:r>
              <w:t xml:space="preserve">Collection and usage attributes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Guide for use:</w:t>
            </w:r>
          </w:p>
        </w:tc>
        <w:tc>
          <w:tcPr>
            <w:tcBorders>
              <w:top w:val="none" w:color="000000" w:sz="0"/>
              <w:left w:val="none" w:color="000000" w:sz="0"/>
              <w:bottom w:val="none" w:color="000000" w:sz="0"/>
              <w:right w:val="none" w:color="000000" w:sz="0"/>
            </w:tcBorders>
            <w:vAlign w:val="top"/>
          </w:tcPr>
          <w:p>
            <w:pPr>
              <w:spacing w:after="160"/>
            </w:pPr>
            <w:r>
              <w:rPr>
                <w:rStyle w:val="row-content-rich-text"/>
              </w:rPr>
              <w:t xml:space="preserve">Count number of days.</w:t>
            </w:r>
          </w:p>
          <w:p>
            <w:pPr>
              <w:spacing w:after="160"/>
            </w:pPr>
            <w:r>
              <w:rPr>
                <w:rStyle w:val="row-content-rich-text"/>
              </w:rPr>
              <w:t xml:space="preserve">A day is measured from midnight to 2359 hours.</w:t>
            </w:r>
          </w:p>
          <w:p>
            <w:pPr>
              <w:spacing w:after="160"/>
            </w:pPr>
            <w:r>
              <w:rPr>
                <w:rStyle w:val="row-content-rich-text"/>
              </w:rPr>
              <w:t xml:space="preserve">Contract patient days are included in the total count of patient days. If necessary, contract patient days can be distinguished from other patient days by using the following rules:</w:t>
            </w:r>
          </w:p>
          <w:p>
            <w:pPr>
              <w:pStyle w:val="ListParagraph"/>
              <w:numPr>
                <w:ilvl w:val="0"/>
                <w:numId w:val="2"/>
              </w:numPr>
            </w:pPr>
            <w:r>
              <w:rPr>
                <w:rStyle w:val="row-content-rich-text"/>
              </w:rPr>
              <w:t xml:space="preserve">The day the contract commences is counted as a contract patient day.</w:t>
            </w:r>
          </w:p>
          <w:p>
            <w:pPr>
              <w:pStyle w:val="ListParagraph"/>
              <w:numPr>
                <w:ilvl w:val="0"/>
                <w:numId w:val="2"/>
              </w:numPr>
            </w:pPr>
            <w:r>
              <w:rPr>
                <w:rStyle w:val="row-content-rich-text"/>
              </w:rPr>
              <w:t xml:space="preserve">If the patient is on contract from midnight to 2359 count as a contract patient day.</w:t>
            </w:r>
          </w:p>
          <w:p>
            <w:pPr>
              <w:pStyle w:val="ListParagraph"/>
              <w:numPr>
                <w:ilvl w:val="0"/>
                <w:numId w:val="2"/>
              </w:numPr>
            </w:pPr>
            <w:r>
              <w:rPr>
                <w:rStyle w:val="row-content-rich-text"/>
              </w:rPr>
              <w:t xml:space="preserve">The day a contract is completed is not counted as a contract patient day.</w:t>
            </w:r>
          </w:p>
          <w:p>
            <w:pPr>
              <w:pStyle w:val="ListParagraph"/>
              <w:numPr>
                <w:ilvl w:val="0"/>
                <w:numId w:val="2"/>
              </w:numPr>
            </w:pPr>
            <w:r>
              <w:rPr>
                <w:rStyle w:val="row-content-rich-text"/>
              </w:rPr>
              <w:t xml:space="preserve">If the patient is admitted and commences a contract on the same day, this is not counted as a contract patient day.</w:t>
            </w:r>
          </w:p>
          <w:p>
            <w:pPr>
              <w:pStyle w:val="ListParagraph"/>
              <w:numPr>
                <w:ilvl w:val="0"/>
                <w:numId w:val="2"/>
              </w:numPr>
            </w:pPr>
            <w:r>
              <w:rPr>
                <w:rStyle w:val="row-content-rich-text"/>
              </w:rPr>
              <w:t xml:space="preserve">If a contract is completed and the patient is separated on the same day, the day should not be counted as a contract or other patient day.</w:t>
            </w:r>
          </w:p>
        </w:tc>
      </w:tr>
      <w:tr>
        <w:trPr/>
        <w:tc>
          <w:tcPr>
            <w:gridSpan w:val="2"/>
            <w:tcBorders>
              <w:top w:val="none" w:color="000000" w:sz="0"/>
              <w:left w:val="none" w:color="000000" w:sz="0"/>
              <w:bottom w:val="none" w:color="000000" w:sz="0"/>
              <w:right w:val="none" w:color="000000" w:sz="0"/>
            </w:tcBorders>
            <w:vAlign w:val="top"/>
            <w:tcMar>
              <w:top w:w="200"/>
              <w:bottom w:w="100"/>
            </w:tcMar>
          </w:tcPr>
          <w:p>
            <w:pPr>
              <w:pStyle w:val="Heading3"/>
            </w:pPr>
            <w:r>
              <w:t xml:space="preserve">Relational attributes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Related metadata references:</w:t>
            </w:r>
          </w:p>
        </w:tc>
        <w:tc>
          <w:tcPr>
            <w:tcW w:w="3750" w:type="pct"/>
            <w:tcBorders>
              <w:top w:val="none" w:color="000000" w:sz="0"/>
              <w:left w:val="none" w:color="000000" w:sz="0"/>
              <w:bottom w:val="none" w:color="000000" w:sz="0"/>
              <w:right w:val="none" w:color="000000" w:sz="0"/>
            </w:tcBorders>
            <w:vAlign w:val="top"/>
            <w:tcMar>
              <w:top w:w="100"/>
              <w:bottom w:w="100"/>
            </w:tcMar>
          </w:tcPr>
          <w:p>
            <w:r>
              <w:rPr>
                <w:rStyle w:val="row-content"/>
              </w:rPr>
              <w:t xml:space="preserve">Is re-engineered from </w:t>
            </w:r>
            <w:hyperlink w:history="true" r:id="R7e210c27b2a24840">
              <w:r>
                <w:drawing>
                  <wp:inline xmlns:wp="http://schemas.openxmlformats.org/drawingml/2006/wordprocessingDrawing" distT="0" distB="0" distL="0" distR="0">
                    <wp:extent cx="152400" cy="152400"/>
                    <wp:effectExtent l="19050" t="0" r="0" b="0"/>
                    <wp:docPr id="2" name="Picture 2" descr="">
                      <a:hlinkClick xmlns:a="http://schemas.openxmlformats.org/drawingml/2006/main" r:id="R7e210c27b2a24840" tooltip="PDF"/>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PDF"/>
                            <pic:cNvPicPr>
                              <a:picLocks noChangeAspect="1" noChangeArrowheads="1"/>
                            </pic:cNvPicPr>
                          </pic:nvPicPr>
                          <pic:blipFill>
                            <a:blip r:embed="R01a0f880c39249d5"/>
                            <a:srcRect/>
                            <a:stretch>
                              <a:fillRect/>
                            </a:stretch>
                          </pic:blipFill>
                          <pic:spPr bwMode="auto">
                            <a:xfrm>
                              <a:off x="0" y="0"/>
                              <a:ext cx="152400" cy="152400"/>
                            </a:xfrm>
                            <a:prstGeom prst="rect">
                              <a:avLst/>
                            </a:prstGeom>
                          </pic:spPr>
                        </pic:pic>
                      </a:graphicData>
                    </a:graphic>
                  </wp:inline>
                </w:drawing>
              </w:r>
              <w:r>
                <w:rPr>
                  <w:rStyle w:val="Hyperlink"/>
                </w:rPr>
                <w:t xml:space="preserve"> Total contract patient days, version 1, Derived DE, NHDD, NHIMG, Superseded 01/03/2005.pdf</w:t>
              </w:r>
            </w:hyperlink>
          </w:p>
          <w:p>
            <w:r>
              <w:rPr>
                <w:rStyle w:val="row-content"/>
              </w:rPr>
              <w:t xml:space="preserve"> (14.9 KB)</w:t>
            </w:r>
          </w:p>
          <w:p>
            <w:pPr>
              <w:spacing w:before="0" w:after="0"/>
            </w:pPr>
            <w:r>
              <w:rPr>
                <w:rStyle w:val="row-content"/>
              </w:rPr>
              <w:t xml:space="preserve">       </w:t>
            </w:r>
            <w:r>
              <w:rPr>
                <w:rStyle w:val="row-content"/>
                <w:i/>
                <w:color w:val="244061"/>
              </w:rPr>
              <w:t xml:space="preserve">No registration status</w:t>
            </w:r>
          </w:p>
          <w:p>
            <w:r>
              <w:br/>
            </w:r>
          </w:p>
        </w:tc>
      </w:tr>
    </w:tbl>
    <w:p/>
    <w:tbl>
      <w:tblPr>
        <w:tblStyle w:val="TableGrid"/>
        <w:tblW w:w="0" w:type="auto"/>
      </w:tblPr>
    </w:tbl>
    <w:p>
      <w:r>
        <w:br/>
      </w:r>
    </w:p>
    <w:sectPr>
      <w:footerReference xmlns:r="http://schemas.openxmlformats.org/officeDocument/2006/relationships" w:type="default" r:id="R76923f620cd54b2e"/>
      <w:pgMar w:top="1060" w:right="1000" w:bottom="1060" w:left="1000" w:footer="300"/>
      <w:titlePg/>
    </w:sectPr>
  </w:body>
</w:document>
</file>

<file path=word/footer1.xml><?xml version="1.0" encoding="utf-8"?>
<w:ftr xmlns:w="http://schemas.openxmlformats.org/wordprocessingml/2006/main">
  <w:p>
    <w:pPr>
      <w:pStyle w:val="Footer"/>
      <w:pBdr>
        <w:top w:val="single"/>
      </w:pBdr>
    </w:pPr>
    <w:r>
      <w:ptab w:alignment="left" w:relativeTo="margin" w:leader="none"/>
    </w:r>
    <w:r>
      <w:t>Metadata 270301</w:t>
    </w:r>
    <w:r>
      <w:ptab w:alignment="right" w:relativeTo="margin" w:leader="none"/>
    </w:r>
    <w:r>
      <w:t xml:space="preserve">Page </w:t>
    </w:r>
    <w:fldSimple w:instr="PAGE"/>
    <w:r>
      <w:t xml:space="preserve"> of </w:t>
    </w:r>
    <w:fldSimple w:instr="NUMPAGES"/>
    <w:r>
      <w:ptab w:alignment="left" w:relativeTo="margin" w:leader="none"/>
    </w:r>
    <w:r>
      <w:t>Downloaded 02-Mar-2024</w:t>
    </w:r>
  </w:p>
</w:ftr>
</file>

<file path=word/header1.xml><?xml version="1.0" encoding="utf-8"?>
<w:hdr xmlns:w="http://schemas.openxmlformats.org/wordprocessingml/2006/main">
  <w:p>
    <w:r>
      <w:drawing>
        <wp:inline xmlns:wp14="http://schemas.microsoft.com/office/word/2010/wordprocessingDrawing" xmlns:wp="http://schemas.openxmlformats.org/drawingml/2006/wordprocessingDrawing" distT="0" distB="0" distL="0" distR="0" wp14:editId="50D07946">
          <wp:extent cx="5943600" cy="1097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52ad68ff96cc46e2" cstate="print">
                    <a:extLst>
                      <a:ext uri="{28A0092B-C50C-407E-A947-70E740481C1C}"/>
                    </a:extLst>
                  </a:blip>
                  <a:stretch>
                    <a:fillRect/>
                  </a:stretch>
                </pic:blipFill>
                <pic:spPr>
                  <a:xfrm>
                    <a:off x="0" y="0"/>
                    <a:ext cx="5943600" cy="1097280"/>
                  </a:xfrm>
                  <a:prstGeom prst="rect">
                    <a:avLst/>
                  </a:prstGeom>
                </pic:spPr>
              </pic:pic>
            </a:graphicData>
          </a:graphic>
        </wp:inline>
      </w:drawing>
    </w:r>
  </w:p>
</w:hdr>
</file>

<file path=word/numbering.xml><?xml version="1.0" encoding="utf-8"?>
<w:numbering xmlns:w="http://schemas.openxmlformats.org/wordprocessingml/2006/main">
  <w:abstractNum w:abstractNumId="0">
    <w:multiLevelType w:val="singleLevel"/>
    <w:name w:val="decimal"/>
    <w:lvl w:ilvl="0">
      <w:start w:val="1"/>
      <w:numFmt w:val="decimal"/>
      <w:lvlText w:val="%1."/>
      <w:pPr>
        <w:ind w:left="420" w:hanging="360"/>
      </w:pPr>
    </w:lvl>
  </w:abstractNum>
  <w:abstractNum w:abstractNumId="1">
    <w:multiLevelType w:val="singleLevel"/>
    <w:name w:val="disc"/>
    <w:lvl w:ilvl="0">
      <w:numFmt w:val="bullet"/>
      <w:lvlText w:val="•"/>
      <w:pPr>
        <w:ind w:left="420" w:hanging="360"/>
      </w:pPr>
    </w:lvl>
  </w:abstractNum>
  <w:abstractNum w:abstractNumId="2">
    <w:multiLevelType w:val="singleLevel"/>
    <w:name w:val="square"/>
    <w:lvl w:ilvl="0">
      <w:numFmt w:val="bullet"/>
      <w:lvlText w:val="▪"/>
      <w:pPr>
        <w:ind w:left="420" w:hanging="360"/>
      </w:pPr>
    </w:lvl>
  </w:abstractNum>
  <w:abstractNum w:abstractNumId="3">
    <w:multiLevelType w:val="singleLevel"/>
    <w:name w:val="circle"/>
    <w:lvl w:ilvl="0">
      <w:numFmt w:val="bullet"/>
      <w:lvlText w:val="o"/>
      <w:pPr>
        <w:ind w:left="420" w:hanging="360"/>
      </w:pPr>
    </w:lvl>
  </w:abstractNum>
  <w:abstractNum w:abstractNumId="4">
    <w:multiLevelType w:val="singleLevel"/>
    <w:name w:val="upper-alpha"/>
    <w:lvl w:ilvl="0">
      <w:start w:val="1"/>
      <w:numFmt w:val="upperLetter"/>
      <w:lvlText w:val="%1."/>
      <w:pPr>
        <w:ind w:left="420" w:hanging="360"/>
      </w:pPr>
    </w:lvl>
  </w:abstractNum>
  <w:abstractNum w:abstractNumId="5">
    <w:multiLevelType w:val="singleLevel"/>
    <w:name w:val="lower-alpha"/>
    <w:lvl w:ilvl="0">
      <w:start w:val="1"/>
      <w:numFmt w:val="lowerLetter"/>
      <w:lvlText w:val="%1."/>
      <w:pPr>
        <w:ind w:left="420" w:hanging="360"/>
      </w:pPr>
    </w:lvl>
  </w:abstractNum>
  <w:abstractNum w:abstractNumId="6">
    <w:multiLevelType w:val="singleLevel"/>
    <w:name w:val="upper-roman"/>
    <w:lvl w:ilvl="0">
      <w:start w:val="1"/>
      <w:numFmt w:val="upperRoman"/>
      <w:lvlText w:val="%1."/>
      <w:pPr>
        <w:ind w:left="420" w:hanging="360"/>
      </w:pPr>
    </w:lvl>
  </w:abstractNum>
  <w:abstractNum w:abstractNumId="7">
    <w:multiLevelType w:val="singleLevel"/>
    <w:name w:val="lower-roman"/>
    <w:lvl w:ilvl="0">
      <w:start w:val="1"/>
      <w:numFmt w:val="lowerRoman"/>
      <w:lvlText w:val="%1."/>
      <w:pPr>
        <w:ind w:left="420" w:hanging="360"/>
      </w:pPr>
    </w:lvl>
  </w:abstractNum>
  <w:abstractNum w:abstractNumId="8">
    <w:multiLevelType w:val="singleLevel"/>
    <w:name w:val="decimal-heading-multi"/>
    <w:lvl w:ilvl="0">
      <w:start w:val="1"/>
      <w:numFmt w:val="decimal"/>
      <w:lvlText w:val="%1."/>
    </w:lvl>
  </w:abstractNum>
  <w:num w:numId="2">
    <w:abstractNumId w:val="1"/>
    <w:lvlOverride w:ilvl="0">
      <w:startOverride w:val="1"/>
    </w:lvlOverride>
  </w:num>
</w:numbering>
</file>

<file path=word/settings.xml><?xml version="1.0" encoding="utf-8"?>
<w:settings xmlns:w="http://schemas.openxmlformats.org/wordprocessingml/2006/main">
  <w:compatSetting w:name="compatibilityMode" w:uri="http://schemas.microsoft.com/office/word" w:val="16"/>
</w:settings>
</file>

<file path=word/styles.xml><?xml version="1.0" encoding="utf-8"?>
<w:styles xmlns:w="http://schemas.openxmlformats.org/wordprocessingml/2006/main">
  <w:style w:type="paragraph" w:styleId="Normal" w:customStyle="false">
    <w:uiPriority w:val="11"/>
    <w:qFormat/>
    <w:name w:val="Normal"/>
    <w:rPr>
      <w:color w:themeColor="text1"/>
      <w:rFonts w:ascii="Segoe UI"/>
      <w:sz w:val="22"/>
    </w:rPr>
  </w:style>
  <w:style w:type="character" w:styleId="row-heading" w:customStyle="false">
    <w:uiPriority w:val="11"/>
    <w:qFormat/>
    <w:name w:val="row-heading"/>
    <w:rPr>
      <w:color w:themeColor="dark2"/>
      <w:rFonts w:ascii="Segoe UI"/>
      <w:sz w:val="22"/>
    </w:rPr>
  </w:style>
  <w:style w:type="character" w:styleId="row-content" w:customStyle="false">
    <w:name w:val="row-content"/>
    <w:basedOn w:val="Normal"/>
    <w:uiPriority w:val="12"/>
    <w:qFormat/>
  </w:style>
  <w:style w:type="character" w:styleId="row-content-rich-text" w:customStyle="false">
    <w:name w:val="row-content-rich-text"/>
    <w:basedOn w:val="Normal"/>
    <w:uiPriority w:val="12"/>
    <w:qFormat/>
  </w:style>
  <w:style w:type="character" w:styleId="alternate-name-de" w:customStyle="false">
    <w:name w:val="alternate-name-de"/>
    <w:basedOn w:val="Normal"/>
    <w:uiPriority w:val="12"/>
    <w:qFormat/>
  </w:style>
  <w:style w:type="character" w:styleId="alternate-name-indicator" w:customStyle="false">
    <w:name w:val="alternate-name-indicator"/>
    <w:basedOn w:val="Normal"/>
    <w:uiPriority w:val="12"/>
    <w:qFormat/>
  </w:style>
  <w:style w:type="paragraph" w:styleId="Heading1" w:customStyle="false">
    <w:uiPriority w:val="11"/>
    <w:qFormat/>
    <w:name w:val="heading 1"/>
    <w:rPr>
      <w:color w:themeColor="accent1" w:themeShade="6F"/>
      <w:rFonts w:ascii="Segoe UI"/>
      <w:sz w:val="36"/>
      <w:b/>
    </w:rPr>
  </w:style>
  <w:style w:type="paragraph" w:styleId="underlinedHeading1" w:customStyle="false">
    <w:uiPriority w:val="11"/>
    <w:qFormat/>
    <w:name w:val="heading 1"/>
    <w:rPr>
      <w:color w:themeColor="accent1" w:themeShade="6F"/>
      <w:rFonts w:ascii="Segoe UI"/>
      <w:sz w:val="36"/>
      <w:b/>
    </w:rPr>
  </w:style>
  <w:style w:type="paragraph" w:styleId="Heading2" w:customStyle="false">
    <w:uiPriority w:val="11"/>
    <w:qFormat/>
    <w:name w:val="heading 2"/>
    <w:rPr>
      <w:color w:themeColor="accent1" w:themeShade="7F"/>
      <w:rFonts w:ascii="Segoe UI"/>
      <w:sz w:val="32"/>
      <w:b/>
    </w:rPr>
  </w:style>
  <w:style w:type="paragraph" w:styleId="underlinedHeading2" w:customStyle="false">
    <w:uiPriority w:val="11"/>
    <w:qFormat/>
    <w:name w:val="heading 2"/>
    <w:rPr>
      <w:color w:themeColor="accent1" w:themeShade="7F"/>
      <w:rFonts w:ascii="Segoe UI"/>
      <w:sz w:val="32"/>
      <w:b/>
    </w:rPr>
  </w:style>
  <w:style w:type="paragraph" w:styleId="Heading3" w:customStyle="false">
    <w:uiPriority w:val="11"/>
    <w:qFormat/>
    <w:name w:val="heading 3"/>
    <w:rPr>
      <w:color w:themeColor="accent1" w:themeShade="BF"/>
      <w:rFonts w:ascii="Segoe UI"/>
      <w:sz w:val="28"/>
      <w:b/>
    </w:rPr>
  </w:style>
  <w:style w:type="paragraph" w:styleId="underlinedHeading3" w:customStyle="false">
    <w:uiPriority w:val="11"/>
    <w:qFormat/>
    <w:name w:val="heading 3"/>
    <w:rPr>
      <w:color w:themeColor="accent1" w:themeShade="BF"/>
      <w:rFonts w:ascii="Segoe UI"/>
      <w:sz w:val="28"/>
      <w:b/>
    </w:rPr>
  </w:style>
  <w:style w:type="paragraph" w:styleId="Heading4" w:customStyle="false">
    <w:uiPriority w:val="11"/>
    <w:qFormat/>
    <w:name w:val="heading 4"/>
    <w:rPr>
      <w:color w:themeColor="accent1" w:themeShade="EF"/>
      <w:rFonts w:ascii="Segoe UI"/>
      <w:sz w:val="26"/>
      <w:b/>
    </w:rPr>
  </w:style>
  <w:style w:type="paragraph" w:styleId="underlinedHeading4" w:customStyle="false">
    <w:uiPriority w:val="11"/>
    <w:qFormat/>
    <w:name w:val="heading 4"/>
    <w:rPr>
      <w:color w:themeColor="accent1" w:themeShade="EF"/>
      <w:rFonts w:ascii="Segoe UI"/>
      <w:sz w:val="26"/>
      <w:b/>
    </w:rPr>
  </w:style>
  <w:style w:type="paragraph" w:styleId="Heading5" w:customStyle="false">
    <w:uiPriority w:val="11"/>
    <w:qFormat/>
    <w:name w:val="heading 5"/>
    <w:rPr>
      <w:color w:themeColor="accent1" w:themeShade="FF"/>
      <w:rFonts w:ascii="Segoe UI"/>
      <w:sz w:val="24"/>
      <w:b/>
    </w:rPr>
  </w:style>
  <w:style w:type="paragraph" w:styleId="underlinedHeading5" w:customStyle="false">
    <w:uiPriority w:val="11"/>
    <w:qFormat/>
    <w:name w:val="heading 5"/>
    <w:rPr>
      <w:color w:themeColor="accent1" w:themeShade="FF"/>
      <w:rFonts w:ascii="Segoe UI"/>
      <w:sz w:val="24"/>
      <w:b/>
    </w:rPr>
  </w:style>
  <w:style w:type="paragraph" w:styleId="Heading6" w:customStyle="false">
    <w:uiPriority w:val="11"/>
    <w:qFormat/>
    <w:name w:val="heading 6"/>
    <w:rPr>
      <w:color w:themeColor="accent1" w:themeShade="FF"/>
      <w:rFonts w:ascii="Segoe UI"/>
      <w:sz w:val="22"/>
      <w:b/>
    </w:rPr>
  </w:style>
  <w:style w:type="paragraph" w:styleId="underlinedHeading6" w:customStyle="false">
    <w:uiPriority w:val="11"/>
    <w:qFormat/>
    <w:name w:val="heading 6"/>
    <w:rPr>
      <w:color w:themeColor="accent1" w:themeShade="FF"/>
      <w:rFonts w:ascii="Segoe UI"/>
      <w:sz w:val="22"/>
      <w:b/>
    </w:rPr>
  </w:style>
  <w:style xmlns:w="http://schemas.openxmlformats.org/wordprocessingml/2006/main" w:type="table" w:styleId="TableGrid">
    <w:name w:val="Table Grid"/>
    <w:basedOn w:val="TableNormal"/>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xmlns:w="http://schemas.openxmlformats.org/wordprocessingml/2006/main" w:type="character" w:styleId="Hyperlink">
    <w:name w:val="Hyperlink"/>
    <w:unhideWhenUsed/>
    <w:rPr>
      <w:color w:val="0000FF" w:themeColor="hyperlink"/>
      <w:u w:val="single"/>
    </w:rPr>
  </w:style>
  <w:style w:type="table" w:styleId="InnerTable">
    <w:name w:val="Inner Table"/>
    <w:basedOn w:val="TableGrid"/>
    <w:tblPr>
      <w:tblCellMar>
        <w:left w:w="0" w:type="dxa"/>
        <w:right w:w="0" w:type="dxa"/>
      </w:tblCellMar>
    </w:tblPr>
  </w:style>
  <w:style w:type="paragraph" w:styleId="Title" w:customStyle="false">
    <w:uiPriority w:val="10"/>
    <w:qFormat/>
    <w:name w:val="Title"/>
    <w:basedOn w:val="Normal"/>
    <w:next w:val="Normal"/>
    <w:rPr>
      <w:color w:themeColor="dark1"/>
      <w:rFonts w:ascii="Calibri Light"/>
      <w:sz w:val="56"/>
    </w:rPr>
  </w:style>
  <w:style w:type="paragraph" w:styleId="Subtitle" w:customStyle="false">
    <w:uiPriority w:val="11"/>
    <w:qFormat/>
    <w:name w:val="Subtitle"/>
    <w:basedOn w:val="Normal"/>
    <w:next w:val="Normal"/>
    <w:rPr>
      <w:color w:themeColor="dark1"/>
      <w:rFonts w:ascii="Calibri Light"/>
      <w:sz w:val="32"/>
    </w:rPr>
  </w:style>
</w:styles>
</file>

<file path=word/_rels/document.xml.rels>&#65279;<?xml version="1.0" encoding="utf-8"?><Relationships xmlns="http://schemas.openxmlformats.org/package/2006/relationships"><Relationship Type="http://schemas.openxmlformats.org/officeDocument/2006/relationships/footer" Target="/word/footer1.xml" Id="R76923f620cd54b2e" /><Relationship Type="http://schemas.openxmlformats.org/officeDocument/2006/relationships/header" Target="/word/header1.xml" Id="R8b8453aba5d24936" /><Relationship Type="http://schemas.openxmlformats.org/officeDocument/2006/relationships/settings" Target="/word/settings.xml" Id="R2512543e58d74782" /><Relationship Type="http://schemas.openxmlformats.org/officeDocument/2006/relationships/styles" Target="/word/styles.xml" Id="Rc354a20822af4175" /><Relationship Type="http://schemas.openxmlformats.org/officeDocument/2006/relationships/hyperlink" Target="https://meteor.aihw.gov.au/RegistrationAuthority/12" TargetMode="External" Id="R610ba2daf3964e0a" /><Relationship Type="http://schemas.openxmlformats.org/officeDocument/2006/relationships/hyperlink" Target="https://meteor.aihw.gov.au/content/269738" TargetMode="External" Id="R17c0209de78e45c0" /><Relationship Type="http://schemas.openxmlformats.org/officeDocument/2006/relationships/hyperlink" Target="https://meteor.aihw.gov.au/RegistrationAuthority/12" TargetMode="External" Id="R21d19b0b1e344c58" /><Relationship Type="http://schemas.openxmlformats.org/officeDocument/2006/relationships/hyperlink" Target="https://meteor.aihw.gov.au/content/268995" TargetMode="External" Id="Ra14d4d3e464040c2" /><Relationship Type="http://schemas.openxmlformats.org/officeDocument/2006/relationships/hyperlink" Target="https://meteor.aihw.gov.au/content/269090" TargetMode="External" Id="R44f10c1d7279437d" /><Relationship Type="http://schemas.openxmlformats.org/officeDocument/2006/relationships/hyperlink" Target="https://meteor.aihw.gov.au/content/270577" TargetMode="External" Id="Rd0f055c4a4c04f5f" /><Relationship Type="http://schemas.openxmlformats.org/officeDocument/2006/relationships/hyperlink" Target="https://meteor.aihw.gov.au/RegistrationAuthority/1" TargetMode="External" Id="R547a119933dd4294" /><Relationship Type="http://schemas.openxmlformats.org/officeDocument/2006/relationships/hyperlink" Target="https://meteor.aihw.gov.au/RegistrationAuthority/16" TargetMode="External" Id="R13d742f26c3241b0" /><Relationship Type="http://schemas.openxmlformats.org/officeDocument/2006/relationships/hyperlink" Target="https://meteor.aihw.gov.au/RegistrationAuthority/12" TargetMode="External" Id="R2ad7594919a945c9" /><Relationship Type="http://schemas.openxmlformats.org/officeDocument/2006/relationships/hyperlink" Target="https://meteor.aihw.gov.au/RegistrationAuthority/3" TargetMode="External" Id="R50f77594b28248ee" /><Relationship Type="http://schemas.openxmlformats.org/officeDocument/2006/relationships/hyperlink" Target="https://meteor.aihw.gov.au/RegistrationAuthority/8" TargetMode="External" Id="Re1bc522c0a004721" /><Relationship Type="http://schemas.openxmlformats.org/officeDocument/2006/relationships/hyperlink" Target="https://meteor.aihw.gov.au/RegistrationAuthority/15" TargetMode="External" Id="R932bbf42797b41c1" /><Relationship Type="http://schemas.openxmlformats.org/officeDocument/2006/relationships/numbering" Target="/word/numbering.xml" Id="R16e45f1617b443af" /><Relationship Type="http://schemas.openxmlformats.org/officeDocument/2006/relationships/hyperlink" Target="https://meteor.aihw.gov.au/content/273414" TargetMode="External" Id="R7e210c27b2a24840" /><Relationship Type="http://schemas.openxmlformats.org/officeDocument/2006/relationships/image" Target="/media/image.gif" Id="R01a0f880c39249d5" /></Relationships>
</file>

<file path=word/_rels/header1.xml.rels>&#65279;<?xml version="1.0" encoding="utf-8"?><Relationships xmlns="http://schemas.openxmlformats.org/package/2006/relationships"><Relationship Type="http://schemas.openxmlformats.org/officeDocument/2006/relationships/image" Target="/media/image.png" Id="R52ad68ff96cc46e2" /></Relationships>
</file>